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ackground w:color="ffffff"/>
  <w:body>
    <w:p>
      <w:pPr>
        <w:pStyle w:val="style0"/>
        <w:jc w:val="center"/>
        <w:rPr>
          <w:b/>
          <w:sz w:val="64"/>
          <w:szCs w:val="64"/>
        </w:rPr>
      </w:pPr>
      <w:r>
        <w:rPr>
          <w:rFonts w:hint="eastAsia"/>
          <w:b/>
          <w:sz w:val="64"/>
          <w:szCs w:val="64"/>
        </w:rPr>
        <w:t>2020</w:t>
      </w:r>
      <w:r>
        <w:rPr>
          <w:rFonts w:hint="eastAsia"/>
          <w:b/>
          <w:sz w:val="64"/>
          <w:szCs w:val="64"/>
        </w:rPr>
        <w:t>年浙江工商大学</w:t>
      </w:r>
    </w:p>
    <w:p>
      <w:pPr>
        <w:pStyle w:val="style0"/>
        <w:jc w:val="center"/>
        <w:rPr>
          <w:b/>
          <w:sz w:val="64"/>
          <w:szCs w:val="64"/>
        </w:rPr>
      </w:pPr>
      <w:r>
        <w:rPr>
          <w:rFonts w:hint="eastAsia"/>
          <w:b/>
          <w:sz w:val="64"/>
          <w:szCs w:val="64"/>
        </w:rPr>
        <w:t>新生杯八</w:t>
      </w:r>
      <w:r>
        <w:rPr>
          <w:rFonts w:hint="eastAsia"/>
          <w:b/>
          <w:sz w:val="64"/>
          <w:szCs w:val="64"/>
        </w:rPr>
        <w:t>人制足球对抗赛</w:t>
      </w:r>
    </w:p>
    <w:p>
      <w:pPr>
        <w:pStyle w:val="style0"/>
        <w:ind w:firstLine="1436" w:firstLineChars="298"/>
        <w:rPr>
          <w:b/>
          <w:sz w:val="48"/>
          <w:szCs w:val="48"/>
        </w:rPr>
      </w:pPr>
      <w:r>
        <w:rPr>
          <w:rFonts w:hint="eastAsia"/>
          <w:b/>
          <w:noProof/>
          <w:sz w:val="48"/>
          <w:szCs w:val="48"/>
        </w:rPr>
        <w:drawing>
          <wp:anchor distT="0" distB="0" distL="0" distR="0" simplePos="false" relativeHeight="2" behindDoc="true" locked="false" layoutInCell="true" allowOverlap="true">
            <wp:simplePos x="0" y="0"/>
            <wp:positionH relativeFrom="column">
              <wp:posOffset>635</wp:posOffset>
            </wp:positionH>
            <wp:positionV relativeFrom="paragraph">
              <wp:posOffset>131445</wp:posOffset>
            </wp:positionV>
            <wp:extent cx="5272405" cy="5272405"/>
            <wp:effectExtent l="0" t="0" r="4445" b="4445"/>
            <wp:wrapNone/>
            <wp:docPr id="1027" name="圖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圖片 1"/>
                    <pic:cNvPicPr/>
                  </pic:nvPicPr>
                  <pic:blipFill>
                    <a:blip r:embed="rId2" cstate="print">
                      <a:lum bright="68000" contrast="-70000"/>
                    </a:blip>
                    <a:srcRect l="0" t="0" r="0" b="0"/>
                    <a:stretch/>
                  </pic:blipFill>
                  <pic:spPr>
                    <a:xfrm rot="0">
                      <a:off x="0" y="0"/>
                      <a:ext cx="5272405" cy="5272405"/>
                    </a:xfrm>
                    <a:prstGeom prst="rect"/>
                    <a:ln>
                      <a:noFill/>
                    </a:ln>
                  </pic:spPr>
                </pic:pic>
              </a:graphicData>
            </a:graphic>
          </wp:anchor>
        </w:drawing>
      </w:r>
    </w:p>
    <w:p>
      <w:pPr>
        <w:pStyle w:val="style0"/>
        <w:ind w:firstLine="1316" w:firstLineChars="298"/>
        <w:rPr>
          <w:b/>
          <w:sz w:val="44"/>
          <w:szCs w:val="44"/>
        </w:rPr>
      </w:pPr>
    </w:p>
    <w:p>
      <w:pPr>
        <w:pStyle w:val="style0"/>
        <w:ind w:firstLine="2513" w:firstLineChars="298"/>
        <w:rPr>
          <w:b/>
          <w:sz w:val="84"/>
          <w:szCs w:val="84"/>
        </w:rPr>
      </w:pPr>
      <w:r>
        <w:rPr>
          <w:rFonts w:hint="eastAsia"/>
          <w:b/>
          <w:sz w:val="84"/>
          <w:szCs w:val="84"/>
        </w:rPr>
        <w:t xml:space="preserve">  </w:t>
      </w:r>
      <w:r>
        <w:rPr>
          <w:rFonts w:hint="eastAsia"/>
          <w:b/>
          <w:sz w:val="84"/>
          <w:szCs w:val="84"/>
        </w:rPr>
        <w:t>秩</w:t>
      </w:r>
    </w:p>
    <w:p>
      <w:pPr>
        <w:pStyle w:val="style0"/>
        <w:ind w:firstLine="2513" w:firstLineChars="298"/>
        <w:rPr>
          <w:b/>
          <w:sz w:val="84"/>
          <w:szCs w:val="84"/>
        </w:rPr>
      </w:pPr>
    </w:p>
    <w:p>
      <w:pPr>
        <w:pStyle w:val="style0"/>
        <w:ind w:firstLine="3356" w:firstLineChars="398"/>
        <w:rPr>
          <w:b/>
          <w:sz w:val="84"/>
          <w:szCs w:val="84"/>
        </w:rPr>
      </w:pPr>
      <w:r>
        <w:rPr>
          <w:rFonts w:hint="eastAsia"/>
          <w:b/>
          <w:sz w:val="84"/>
          <w:szCs w:val="84"/>
        </w:rPr>
        <w:t>序</w:t>
      </w:r>
    </w:p>
    <w:p>
      <w:pPr>
        <w:pStyle w:val="style0"/>
        <w:ind w:firstLine="2935" w:firstLineChars="348"/>
        <w:rPr>
          <w:b/>
          <w:sz w:val="84"/>
          <w:szCs w:val="84"/>
        </w:rPr>
      </w:pPr>
    </w:p>
    <w:p>
      <w:pPr>
        <w:pStyle w:val="style0"/>
        <w:ind w:firstLine="3356" w:firstLineChars="398"/>
        <w:rPr>
          <w:b/>
          <w:sz w:val="84"/>
          <w:szCs w:val="84"/>
        </w:rPr>
      </w:pPr>
      <w:r>
        <w:rPr>
          <w:rFonts w:hint="eastAsia"/>
          <w:b/>
          <w:sz w:val="84"/>
          <w:szCs w:val="84"/>
        </w:rPr>
        <w:t>册</w:t>
      </w:r>
    </w:p>
    <w:p>
      <w:pPr>
        <w:pStyle w:val="style0"/>
        <w:ind w:firstLine="2935" w:firstLineChars="348"/>
        <w:rPr>
          <w:b/>
          <w:sz w:val="84"/>
          <w:szCs w:val="84"/>
        </w:rPr>
      </w:pPr>
    </w:p>
    <w:p>
      <w:pPr>
        <w:pStyle w:val="style0"/>
        <w:ind w:firstLine="360" w:firstLineChars="100"/>
        <w:jc w:val="left"/>
        <w:rPr>
          <w:rFonts w:ascii="宋体" w:cs="宋体" w:hAnsi="宋体"/>
          <w:bCs/>
          <w:sz w:val="36"/>
          <w:szCs w:val="36"/>
        </w:rPr>
      </w:pPr>
      <w:r>
        <w:rPr>
          <w:rFonts w:ascii="宋体" w:cs="宋体" w:hAnsi="宋体" w:hint="eastAsia"/>
          <w:bCs/>
          <w:sz w:val="36"/>
          <w:szCs w:val="36"/>
        </w:rPr>
        <w:t>主办：浙江工商大学体育运动委员会</w:t>
      </w:r>
    </w:p>
    <w:p>
      <w:pPr>
        <w:pStyle w:val="style0"/>
        <w:tabs>
          <w:tab w:val="left" w:leader="none" w:pos="476"/>
        </w:tabs>
        <w:ind w:firstLine="346" w:firstLineChars="96"/>
        <w:jc w:val="left"/>
        <w:rPr>
          <w:rFonts w:ascii="宋体" w:cs="宋体" w:hAnsi="宋体"/>
          <w:bCs/>
          <w:sz w:val="36"/>
          <w:szCs w:val="36"/>
        </w:rPr>
      </w:pPr>
      <w:r>
        <w:rPr>
          <w:rFonts w:ascii="宋体" w:cs="宋体" w:hAnsi="宋体" w:hint="eastAsia"/>
          <w:bCs/>
          <w:sz w:val="36"/>
          <w:szCs w:val="36"/>
        </w:rPr>
        <w:t>承办：浙江工商大学体工部</w:t>
      </w:r>
    </w:p>
    <w:p>
      <w:pPr>
        <w:pStyle w:val="style0"/>
        <w:tabs>
          <w:tab w:val="left" w:leader="none" w:pos="476"/>
        </w:tabs>
        <w:ind w:firstLine="346" w:firstLineChars="96"/>
        <w:jc w:val="left"/>
        <w:rPr>
          <w:rFonts w:ascii="宋体" w:cs="宋体" w:hAnsi="宋体"/>
          <w:bCs/>
          <w:sz w:val="36"/>
          <w:szCs w:val="36"/>
        </w:rPr>
      </w:pPr>
      <w:r>
        <w:rPr>
          <w:rFonts w:ascii="宋体" w:cs="宋体" w:hAnsi="宋体" w:hint="eastAsia"/>
          <w:bCs/>
          <w:sz w:val="36"/>
          <w:szCs w:val="36"/>
        </w:rPr>
        <w:t>浙江工商大学</w:t>
      </w:r>
      <w:r>
        <w:rPr>
          <w:rFonts w:ascii="宋体" w:cs="宋体" w:hAnsi="宋体" w:hint="eastAsia"/>
          <w:bCs/>
          <w:sz w:val="36"/>
          <w:szCs w:val="36"/>
        </w:rPr>
        <w:t>Striker</w:t>
      </w:r>
      <w:r>
        <w:rPr>
          <w:rFonts w:ascii="宋体" w:cs="宋体" w:hAnsi="宋体" w:hint="eastAsia"/>
          <w:bCs/>
          <w:sz w:val="36"/>
          <w:szCs w:val="36"/>
        </w:rPr>
        <w:t>足球协会</w:t>
      </w:r>
    </w:p>
    <w:p>
      <w:pPr>
        <w:pStyle w:val="style0"/>
        <w:ind w:firstLine="346" w:firstLineChars="96"/>
        <w:jc w:val="left"/>
        <w:rPr>
          <w:rFonts w:ascii="宋体" w:cs="宋体" w:hAnsi="宋体"/>
          <w:bCs/>
          <w:sz w:val="36"/>
          <w:szCs w:val="36"/>
        </w:rPr>
      </w:pPr>
      <w:r>
        <w:rPr>
          <w:rFonts w:ascii="宋体" w:cs="宋体" w:hAnsi="宋体" w:hint="eastAsia"/>
          <w:bCs/>
          <w:sz w:val="36"/>
          <w:szCs w:val="36"/>
        </w:rPr>
        <w:t>时间：</w:t>
      </w:r>
      <w:r>
        <w:rPr>
          <w:rFonts w:ascii="宋体" w:cs="宋体" w:hAnsi="宋体" w:hint="eastAsia"/>
          <w:bCs/>
          <w:sz w:val="36"/>
          <w:szCs w:val="36"/>
        </w:rPr>
        <w:t>20</w:t>
      </w:r>
      <w:r>
        <w:rPr>
          <w:rFonts w:ascii="宋体" w:cs="宋体" w:hAnsi="宋体" w:hint="eastAsia"/>
          <w:bCs/>
          <w:color w:val="000000"/>
          <w:sz w:val="36"/>
          <w:szCs w:val="36"/>
        </w:rPr>
        <w:t>20</w:t>
      </w:r>
      <w:r>
        <w:rPr>
          <w:rFonts w:ascii="宋体" w:cs="宋体" w:hAnsi="宋体" w:hint="eastAsia"/>
          <w:bCs/>
          <w:color w:val="000000"/>
          <w:sz w:val="36"/>
          <w:szCs w:val="36"/>
        </w:rPr>
        <w:t>年</w:t>
      </w:r>
      <w:r>
        <w:rPr>
          <w:rFonts w:ascii="宋体" w:cs="宋体" w:hAnsi="宋体" w:hint="eastAsia"/>
          <w:bCs/>
          <w:color w:val="000000"/>
          <w:sz w:val="36"/>
          <w:szCs w:val="36"/>
        </w:rPr>
        <w:t>10</w:t>
      </w:r>
      <w:r>
        <w:rPr>
          <w:rFonts w:ascii="宋体" w:cs="宋体" w:hAnsi="宋体" w:hint="eastAsia"/>
          <w:bCs/>
          <w:sz w:val="36"/>
          <w:szCs w:val="36"/>
        </w:rPr>
        <w:t>月至</w:t>
      </w:r>
      <w:r>
        <w:rPr>
          <w:rFonts w:ascii="宋体" w:cs="宋体" w:hAnsi="宋体" w:hint="eastAsia"/>
          <w:bCs/>
          <w:sz w:val="36"/>
          <w:szCs w:val="36"/>
        </w:rPr>
        <w:t>11</w:t>
      </w:r>
      <w:r>
        <w:rPr>
          <w:rFonts w:ascii="宋体" w:cs="宋体" w:hAnsi="宋体" w:hint="eastAsia"/>
          <w:bCs/>
          <w:sz w:val="36"/>
          <w:szCs w:val="36"/>
        </w:rPr>
        <w:t>月</w:t>
      </w:r>
    </w:p>
    <w:p>
      <w:pPr>
        <w:pStyle w:val="style0"/>
        <w:jc w:val="center"/>
        <w:rPr>
          <w:b/>
          <w:sz w:val="30"/>
          <w:szCs w:val="30"/>
        </w:rPr>
      </w:pPr>
    </w:p>
    <w:p>
      <w:pPr>
        <w:pStyle w:val="style0"/>
        <w:jc w:val="center"/>
        <w:rPr>
          <w:b/>
          <w:color w:val="000000"/>
          <w:sz w:val="30"/>
          <w:szCs w:val="30"/>
        </w:rPr>
        <w:sectPr>
          <w:headerReference w:type="default" r:id="rId3"/>
          <w:footerReference w:type="default" r:id="rId4"/>
          <w:pgSz w:w="11906" w:h="16838" w:orient="portrait"/>
          <w:pgMar w:top="1440" w:right="1800" w:bottom="1440" w:left="1800" w:header="851" w:footer="992" w:gutter="0"/>
          <w:cols w:space="720"/>
          <w:docGrid w:type="lines" w:linePitch="312"/>
        </w:sectPr>
      </w:pPr>
    </w:p>
    <w:p>
      <w:pPr>
        <w:pStyle w:val="style0"/>
        <w:jc w:val="center"/>
        <w:rPr>
          <w:b/>
          <w:color w:val="000000"/>
          <w:sz w:val="30"/>
          <w:szCs w:val="30"/>
        </w:rPr>
      </w:pPr>
    </w:p>
    <w:p>
      <w:pPr>
        <w:pStyle w:val="style0"/>
        <w:jc w:val="center"/>
        <w:rPr>
          <w:b/>
          <w:color w:val="000000"/>
          <w:sz w:val="30"/>
          <w:szCs w:val="30"/>
        </w:rPr>
      </w:pPr>
      <w:r>
        <w:rPr>
          <w:rFonts w:hint="eastAsia"/>
          <w:b/>
          <w:color w:val="000000"/>
          <w:sz w:val="30"/>
          <w:szCs w:val="30"/>
        </w:rPr>
        <w:t>2020</w:t>
      </w:r>
      <w:r>
        <w:rPr>
          <w:rFonts w:hint="eastAsia"/>
          <w:b/>
          <w:color w:val="000000"/>
          <w:sz w:val="30"/>
          <w:szCs w:val="30"/>
        </w:rPr>
        <w:t>年浙江工商</w:t>
      </w:r>
      <w:r>
        <w:rPr>
          <w:rFonts w:hint="eastAsia"/>
          <w:b/>
          <w:color w:val="000000"/>
          <w:sz w:val="30"/>
          <w:szCs w:val="30"/>
        </w:rPr>
        <w:t>大学</w:t>
      </w:r>
      <w:r>
        <w:rPr>
          <w:rFonts w:hint="eastAsia"/>
          <w:b/>
          <w:color w:val="000000"/>
          <w:sz w:val="30"/>
          <w:szCs w:val="30"/>
        </w:rPr>
        <w:t>新生</w:t>
      </w:r>
      <w:r>
        <w:rPr>
          <w:rFonts w:hint="eastAsia"/>
          <w:b/>
          <w:color w:val="000000"/>
          <w:sz w:val="30"/>
          <w:szCs w:val="30"/>
        </w:rPr>
        <w:t>杯</w:t>
      </w:r>
      <w:r>
        <w:rPr>
          <w:rFonts w:hint="eastAsia"/>
          <w:b/>
          <w:color w:val="000000"/>
          <w:sz w:val="30"/>
          <w:szCs w:val="30"/>
        </w:rPr>
        <w:t>八</w:t>
      </w:r>
      <w:r>
        <w:rPr>
          <w:rFonts w:hint="eastAsia"/>
          <w:b/>
          <w:color w:val="000000"/>
          <w:sz w:val="30"/>
          <w:szCs w:val="30"/>
        </w:rPr>
        <w:t>人制足球对抗赛秩序册</w:t>
      </w:r>
    </w:p>
    <w:p>
      <w:pPr>
        <w:pStyle w:val="style0"/>
        <w:numPr>
          <w:ilvl w:val="0"/>
          <w:numId w:val="1"/>
        </w:numPr>
        <w:tabs>
          <w:tab w:val="left" w:leader="none" w:pos="360"/>
        </w:tabs>
        <w:ind w:left="360"/>
        <w:rPr>
          <w:color w:val="000000"/>
          <w:sz w:val="24"/>
        </w:rPr>
      </w:pPr>
      <w:r>
        <w:rPr>
          <w:rFonts w:hint="eastAsia"/>
          <w:b/>
          <w:bCs/>
          <w:color w:val="000000"/>
          <w:sz w:val="24"/>
        </w:rPr>
        <w:t>主办单位</w:t>
      </w:r>
    </w:p>
    <w:p>
      <w:pPr>
        <w:pStyle w:val="style0"/>
        <w:tabs>
          <w:tab w:val="left" w:leader="none" w:pos="360"/>
        </w:tabs>
        <w:ind w:firstLine="480" w:firstLineChars="200"/>
        <w:rPr>
          <w:color w:val="c00000"/>
          <w:sz w:val="24"/>
        </w:rPr>
      </w:pPr>
      <w:r>
        <w:rPr>
          <w:rFonts w:hint="eastAsia"/>
          <w:bCs/>
          <w:sz w:val="24"/>
        </w:rPr>
        <w:t>浙江</w:t>
      </w:r>
      <w:r>
        <w:rPr>
          <w:rFonts w:hint="eastAsia"/>
          <w:color w:val="000000"/>
          <w:sz w:val="24"/>
        </w:rPr>
        <w:t>工商大学体育运动委员会</w:t>
      </w:r>
    </w:p>
    <w:p>
      <w:pPr>
        <w:pStyle w:val="style0"/>
        <w:numPr>
          <w:ilvl w:val="0"/>
          <w:numId w:val="1"/>
        </w:numPr>
        <w:tabs>
          <w:tab w:val="left" w:leader="none" w:pos="360"/>
        </w:tabs>
        <w:ind w:left="360"/>
        <w:rPr>
          <w:b/>
          <w:bCs/>
          <w:color w:val="000000"/>
          <w:sz w:val="24"/>
        </w:rPr>
      </w:pPr>
      <w:r>
        <w:rPr>
          <w:rFonts w:hint="eastAsia"/>
          <w:b/>
          <w:bCs/>
          <w:color w:val="000000"/>
          <w:sz w:val="24"/>
        </w:rPr>
        <w:t>承办单位</w:t>
      </w:r>
    </w:p>
    <w:p>
      <w:pPr>
        <w:pStyle w:val="style0"/>
        <w:tabs>
          <w:tab w:val="left" w:leader="none" w:pos="360"/>
        </w:tabs>
        <w:ind w:firstLine="480" w:firstLineChars="200"/>
        <w:rPr>
          <w:color w:val="000000"/>
          <w:sz w:val="24"/>
        </w:rPr>
      </w:pPr>
      <w:r>
        <w:rPr>
          <w:rFonts w:hint="eastAsia"/>
          <w:bCs/>
          <w:sz w:val="24"/>
        </w:rPr>
        <w:t>浙江</w:t>
      </w:r>
      <w:r>
        <w:rPr>
          <w:rFonts w:hint="eastAsia"/>
          <w:color w:val="000000"/>
          <w:sz w:val="24"/>
        </w:rPr>
        <w:t>工商大学体育工作部</w:t>
      </w:r>
      <w:r>
        <w:rPr>
          <w:rFonts w:hint="eastAsia"/>
          <w:color w:val="000000"/>
          <w:sz w:val="24"/>
        </w:rPr>
        <w:t xml:space="preserve">   </w:t>
      </w:r>
      <w:r>
        <w:rPr>
          <w:rFonts w:hint="eastAsia"/>
          <w:color w:val="000000"/>
          <w:sz w:val="24"/>
        </w:rPr>
        <w:t>浙江工商大学</w:t>
      </w:r>
      <w:r>
        <w:rPr>
          <w:rFonts w:hint="eastAsia"/>
          <w:color w:val="000000"/>
          <w:sz w:val="24"/>
        </w:rPr>
        <w:t>Striker</w:t>
      </w:r>
      <w:r>
        <w:rPr>
          <w:rFonts w:hint="eastAsia"/>
          <w:color w:val="000000"/>
          <w:sz w:val="24"/>
        </w:rPr>
        <w:t>足球协会（以下简称足协）</w:t>
      </w:r>
    </w:p>
    <w:p>
      <w:pPr>
        <w:pStyle w:val="style0"/>
        <w:numPr>
          <w:ilvl w:val="0"/>
          <w:numId w:val="1"/>
        </w:numPr>
        <w:tabs>
          <w:tab w:val="left" w:leader="none" w:pos="360"/>
        </w:tabs>
        <w:ind w:left="360"/>
        <w:rPr>
          <w:b/>
          <w:bCs/>
          <w:color w:val="000000"/>
          <w:sz w:val="24"/>
        </w:rPr>
      </w:pPr>
      <w:r>
        <w:rPr>
          <w:rFonts w:hint="eastAsia"/>
          <w:noProof/>
          <w:color w:val="ff0000"/>
          <w:sz w:val="24"/>
        </w:rPr>
        <w:drawing>
          <wp:anchor distT="0" distB="0" distL="0" distR="0" simplePos="false" relativeHeight="3" behindDoc="true" locked="false" layoutInCell="true" allowOverlap="true">
            <wp:simplePos x="0" y="0"/>
            <wp:positionH relativeFrom="page">
              <wp:posOffset>1147173</wp:posOffset>
            </wp:positionH>
            <wp:positionV relativeFrom="page">
              <wp:posOffset>2597692</wp:posOffset>
            </wp:positionV>
            <wp:extent cx="5272405" cy="5272404"/>
            <wp:effectExtent l="0" t="0" r="4445" b="4445"/>
            <wp:wrapNone/>
            <wp:docPr id="1028" name="圖片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圖片 2"/>
                    <pic:cNvPicPr/>
                  </pic:nvPicPr>
                  <pic:blipFill>
                    <a:blip r:embed="rId2" cstate="print">
                      <a:lum bright="68000" contrast="-70000"/>
                    </a:blip>
                    <a:srcRect l="0" t="0" r="0" b="0"/>
                    <a:stretch/>
                  </pic:blipFill>
                  <pic:spPr>
                    <a:xfrm rot="0">
                      <a:off x="0" y="0"/>
                      <a:ext cx="5272405" cy="5272404"/>
                    </a:xfrm>
                    <a:prstGeom prst="rect"/>
                    <a:ln>
                      <a:noFill/>
                    </a:ln>
                  </pic:spPr>
                </pic:pic>
              </a:graphicData>
            </a:graphic>
          </wp:anchor>
        </w:drawing>
      </w:r>
      <w:r>
        <w:rPr>
          <w:rFonts w:hint="eastAsia"/>
          <w:b/>
          <w:bCs/>
          <w:color w:val="000000"/>
          <w:sz w:val="24"/>
        </w:rPr>
        <w:t>竞赛时间和地点</w:t>
      </w:r>
    </w:p>
    <w:p>
      <w:pPr>
        <w:pStyle w:val="style0"/>
        <w:tabs>
          <w:tab w:val="left" w:leader="none" w:pos="360"/>
        </w:tabs>
        <w:ind w:firstLine="480" w:firstLineChars="200"/>
        <w:rPr>
          <w:color w:val="000000"/>
          <w:sz w:val="24"/>
        </w:rPr>
      </w:pPr>
      <w:r>
        <w:rPr>
          <w:rFonts w:hint="eastAsia"/>
          <w:bCs/>
          <w:sz w:val="24"/>
        </w:rPr>
        <w:t>2020</w:t>
      </w:r>
      <w:r>
        <w:rPr>
          <w:rFonts w:hint="eastAsia"/>
          <w:color w:val="000000"/>
          <w:sz w:val="24"/>
        </w:rPr>
        <w:t>年</w:t>
      </w:r>
      <w:r>
        <w:rPr>
          <w:rFonts w:hint="eastAsia"/>
          <w:color w:val="000000"/>
          <w:sz w:val="24"/>
        </w:rPr>
        <w:t>10</w:t>
      </w:r>
      <w:r>
        <w:rPr>
          <w:rFonts w:hint="eastAsia"/>
          <w:color w:val="000000"/>
          <w:sz w:val="24"/>
        </w:rPr>
        <w:t>月—</w:t>
      </w:r>
      <w:r>
        <w:rPr>
          <w:rFonts w:hint="eastAsia"/>
          <w:color w:val="000000"/>
          <w:sz w:val="24"/>
        </w:rPr>
        <w:t>20</w:t>
      </w:r>
      <w:r>
        <w:rPr>
          <w:rFonts w:hint="eastAsia"/>
          <w:color w:val="000000"/>
          <w:sz w:val="24"/>
        </w:rPr>
        <w:t>20</w:t>
      </w:r>
      <w:r>
        <w:rPr>
          <w:rFonts w:hint="eastAsia"/>
          <w:color w:val="000000"/>
          <w:sz w:val="24"/>
        </w:rPr>
        <w:t>年</w:t>
      </w:r>
      <w:r>
        <w:rPr>
          <w:rFonts w:hint="eastAsia"/>
          <w:color w:val="000000"/>
          <w:sz w:val="24"/>
        </w:rPr>
        <w:t>11</w:t>
      </w:r>
      <w:r>
        <w:rPr>
          <w:rFonts w:hint="eastAsia"/>
          <w:color w:val="000000"/>
          <w:sz w:val="24"/>
        </w:rPr>
        <w:t>月，浙江工商大学下沙校区第一足球场。</w:t>
      </w:r>
    </w:p>
    <w:p>
      <w:pPr>
        <w:pStyle w:val="style0"/>
        <w:numPr>
          <w:ilvl w:val="0"/>
          <w:numId w:val="1"/>
        </w:numPr>
        <w:tabs>
          <w:tab w:val="left" w:leader="none" w:pos="360"/>
        </w:tabs>
        <w:ind w:left="360"/>
        <w:rPr>
          <w:b/>
          <w:bCs/>
          <w:color w:val="000000"/>
          <w:sz w:val="24"/>
        </w:rPr>
      </w:pPr>
      <w:r>
        <w:rPr>
          <w:b/>
          <w:bCs/>
          <w:color w:val="000000"/>
          <w:sz w:val="24"/>
        </w:rPr>
        <w:t>参加方法</w:t>
      </w:r>
    </w:p>
    <w:p>
      <w:pPr>
        <w:pStyle w:val="style0"/>
        <w:tabs>
          <w:tab w:val="left" w:leader="none" w:pos="360"/>
        </w:tabs>
        <w:ind w:firstLine="480" w:firstLineChars="200"/>
        <w:rPr>
          <w:color w:val="ff0000"/>
          <w:sz w:val="24"/>
        </w:rPr>
      </w:pPr>
      <w:r>
        <w:rPr>
          <w:rFonts w:hint="eastAsia"/>
          <w:bCs/>
          <w:sz w:val="24"/>
        </w:rPr>
        <w:t>各学院可报领队</w:t>
      </w:r>
      <w:r>
        <w:rPr>
          <w:rFonts w:hint="eastAsia"/>
          <w:bCs/>
          <w:sz w:val="24"/>
        </w:rPr>
        <w:t>1</w:t>
      </w:r>
      <w:r>
        <w:rPr>
          <w:rFonts w:hint="eastAsia"/>
          <w:bCs/>
          <w:sz w:val="24"/>
        </w:rPr>
        <w:t>人，教练</w:t>
      </w:r>
      <w:r>
        <w:rPr>
          <w:rFonts w:hint="eastAsia"/>
          <w:bCs/>
          <w:sz w:val="24"/>
        </w:rPr>
        <w:t>1</w:t>
      </w:r>
      <w:r>
        <w:rPr>
          <w:rFonts w:hint="eastAsia"/>
          <w:bCs/>
          <w:sz w:val="24"/>
        </w:rPr>
        <w:t>人，运动员</w:t>
      </w:r>
      <w:r>
        <w:rPr>
          <w:rFonts w:hint="eastAsia"/>
          <w:bCs/>
          <w:sz w:val="24"/>
        </w:rPr>
        <w:t>8-18</w:t>
      </w:r>
      <w:r>
        <w:rPr>
          <w:rFonts w:hint="eastAsia"/>
          <w:bCs/>
          <w:sz w:val="24"/>
        </w:rPr>
        <w:t>名（少于</w:t>
      </w:r>
      <w:r>
        <w:rPr>
          <w:rFonts w:hint="eastAsia"/>
          <w:bCs/>
          <w:sz w:val="24"/>
        </w:rPr>
        <w:t>8</w:t>
      </w:r>
      <w:r>
        <w:rPr>
          <w:rFonts w:hint="eastAsia"/>
          <w:bCs/>
          <w:sz w:val="24"/>
        </w:rPr>
        <w:t>人也可报名，由</w:t>
      </w:r>
      <w:r>
        <w:rPr>
          <w:rFonts w:hint="eastAsia"/>
          <w:color w:val="000000"/>
          <w:sz w:val="24"/>
        </w:rPr>
        <w:t>足球协会调剂任意</w:t>
      </w:r>
      <w:r>
        <w:rPr>
          <w:color w:val="000000"/>
          <w:sz w:val="24"/>
        </w:rPr>
        <w:t>两个</w:t>
      </w:r>
      <w:r>
        <w:rPr>
          <w:rFonts w:hint="eastAsia"/>
          <w:color w:val="000000"/>
          <w:sz w:val="24"/>
        </w:rPr>
        <w:t>学院合并参赛）</w:t>
      </w:r>
    </w:p>
    <w:p>
      <w:pPr>
        <w:pStyle w:val="style0"/>
        <w:numPr>
          <w:ilvl w:val="0"/>
          <w:numId w:val="1"/>
        </w:numPr>
        <w:tabs>
          <w:tab w:val="left" w:leader="none" w:pos="360"/>
        </w:tabs>
        <w:ind w:left="360"/>
        <w:rPr>
          <w:b/>
          <w:bCs/>
          <w:color w:val="000000"/>
          <w:sz w:val="24"/>
        </w:rPr>
      </w:pPr>
      <w:r>
        <w:rPr>
          <w:rFonts w:hint="eastAsia"/>
          <w:b/>
          <w:bCs/>
          <w:color w:val="000000"/>
          <w:sz w:val="24"/>
        </w:rPr>
        <w:t>比赛赛制</w:t>
      </w:r>
    </w:p>
    <w:p>
      <w:pPr>
        <w:pStyle w:val="style0"/>
        <w:numPr>
          <w:ilvl w:val="0"/>
          <w:numId w:val="4"/>
        </w:numPr>
        <w:tabs>
          <w:tab w:val="left" w:leader="none" w:pos="360"/>
        </w:tabs>
        <w:rPr>
          <w:color w:val="000000"/>
          <w:sz w:val="24"/>
        </w:rPr>
      </w:pPr>
      <w:r>
        <w:rPr>
          <w:bCs/>
          <w:sz w:val="24"/>
        </w:rPr>
        <w:t>小组</w:t>
      </w:r>
      <w:r>
        <w:rPr>
          <w:rFonts w:hint="eastAsia"/>
          <w:bCs/>
          <w:sz w:val="24"/>
        </w:rPr>
        <w:t>赛</w:t>
      </w:r>
      <w:r>
        <w:rPr>
          <w:rFonts w:hint="eastAsia"/>
          <w:color w:val="000000"/>
          <w:sz w:val="24"/>
        </w:rPr>
        <w:t>采用分组单</w:t>
      </w:r>
      <w:r>
        <w:rPr>
          <w:color w:val="000000"/>
          <w:sz w:val="24"/>
        </w:rPr>
        <w:t>循环赛制，分别为</w:t>
      </w:r>
      <w:r>
        <w:rPr>
          <w:rFonts w:hint="eastAsia"/>
          <w:color w:val="000000"/>
          <w:sz w:val="24"/>
        </w:rPr>
        <w:t>三</w:t>
      </w:r>
      <w:r>
        <w:rPr>
          <w:color w:val="000000"/>
          <w:sz w:val="24"/>
        </w:rPr>
        <w:t>个四队组</w:t>
      </w:r>
      <w:r>
        <w:rPr>
          <w:rFonts w:hint="eastAsia"/>
          <w:color w:val="000000"/>
          <w:sz w:val="24"/>
        </w:rPr>
        <w:t>一个三队组</w:t>
      </w:r>
      <w:r>
        <w:rPr>
          <w:color w:val="000000"/>
          <w:sz w:val="24"/>
        </w:rPr>
        <w:t>，晋级积分排名前二的两支</w:t>
      </w:r>
      <w:r>
        <w:rPr>
          <w:rFonts w:hint="eastAsia"/>
          <w:color w:val="000000"/>
          <w:sz w:val="24"/>
        </w:rPr>
        <w:t>。</w:t>
      </w:r>
    </w:p>
    <w:p>
      <w:pPr>
        <w:pStyle w:val="style0"/>
        <w:numPr>
          <w:ilvl w:val="0"/>
          <w:numId w:val="4"/>
        </w:numPr>
        <w:tabs>
          <w:tab w:val="left" w:leader="none" w:pos="360"/>
        </w:tabs>
        <w:rPr>
          <w:color w:val="000000"/>
          <w:sz w:val="24"/>
        </w:rPr>
      </w:pPr>
      <w:r>
        <w:rPr>
          <w:rFonts w:hint="eastAsia"/>
          <w:color w:val="000000"/>
          <w:sz w:val="24"/>
        </w:rPr>
        <w:t>淘汰赛八强队伍对阵不进行抽签，按照以下方式产生对阵双方：</w:t>
      </w:r>
    </w:p>
    <w:p>
      <w:pPr>
        <w:pStyle w:val="style0"/>
        <w:tabs>
          <w:tab w:val="left" w:leader="none" w:pos="360"/>
        </w:tabs>
        <w:rPr>
          <w:color w:val="000000"/>
          <w:sz w:val="24"/>
        </w:rPr>
      </w:pPr>
      <w:r>
        <w:rPr>
          <w:rFonts w:hint="eastAsia"/>
          <w:color w:val="000000"/>
          <w:sz w:val="24"/>
        </w:rPr>
        <w:t>A</w:t>
      </w:r>
      <w:r>
        <w:rPr>
          <w:rFonts w:hint="eastAsia"/>
          <w:color w:val="000000"/>
          <w:sz w:val="24"/>
        </w:rPr>
        <w:t>组第</w:t>
      </w:r>
      <w:r>
        <w:rPr>
          <w:rFonts w:hint="eastAsia"/>
          <w:color w:val="000000"/>
          <w:sz w:val="24"/>
        </w:rPr>
        <w:t>1  VS  C</w:t>
      </w:r>
      <w:r>
        <w:rPr>
          <w:rFonts w:hint="eastAsia"/>
          <w:color w:val="000000"/>
          <w:sz w:val="24"/>
        </w:rPr>
        <w:t>组第</w:t>
      </w:r>
      <w:r>
        <w:rPr>
          <w:rFonts w:hint="eastAsia"/>
          <w:color w:val="000000"/>
          <w:sz w:val="24"/>
        </w:rPr>
        <w:t>2               C</w:t>
      </w:r>
      <w:r>
        <w:rPr>
          <w:rFonts w:hint="eastAsia"/>
          <w:color w:val="000000"/>
          <w:sz w:val="24"/>
        </w:rPr>
        <w:t>组第</w:t>
      </w:r>
      <w:r>
        <w:rPr>
          <w:rFonts w:hint="eastAsia"/>
          <w:color w:val="000000"/>
          <w:sz w:val="24"/>
        </w:rPr>
        <w:t>1  VS  A</w:t>
      </w:r>
      <w:r>
        <w:rPr>
          <w:rFonts w:hint="eastAsia"/>
          <w:color w:val="000000"/>
          <w:sz w:val="24"/>
        </w:rPr>
        <w:t>组第</w:t>
      </w:r>
      <w:r>
        <w:rPr>
          <w:rFonts w:hint="eastAsia"/>
          <w:color w:val="000000"/>
          <w:sz w:val="24"/>
        </w:rPr>
        <w:t>2</w:t>
      </w:r>
    </w:p>
    <w:p>
      <w:pPr>
        <w:pStyle w:val="style0"/>
        <w:tabs>
          <w:tab w:val="left" w:leader="none" w:pos="360"/>
        </w:tabs>
        <w:rPr>
          <w:color w:val="000000"/>
          <w:sz w:val="24"/>
        </w:rPr>
      </w:pPr>
      <w:r>
        <w:rPr>
          <w:rFonts w:hint="eastAsia"/>
          <w:color w:val="000000"/>
          <w:sz w:val="24"/>
        </w:rPr>
        <w:t>B</w:t>
      </w:r>
      <w:r>
        <w:rPr>
          <w:rFonts w:hint="eastAsia"/>
          <w:color w:val="000000"/>
          <w:sz w:val="24"/>
        </w:rPr>
        <w:t>组第</w:t>
      </w:r>
      <w:r>
        <w:rPr>
          <w:rFonts w:hint="eastAsia"/>
          <w:color w:val="000000"/>
          <w:sz w:val="24"/>
        </w:rPr>
        <w:t>1  VS  D</w:t>
      </w:r>
      <w:r>
        <w:rPr>
          <w:rFonts w:hint="eastAsia"/>
          <w:color w:val="000000"/>
          <w:sz w:val="24"/>
        </w:rPr>
        <w:t>组第</w:t>
      </w:r>
      <w:r>
        <w:rPr>
          <w:rFonts w:hint="eastAsia"/>
          <w:color w:val="000000"/>
          <w:sz w:val="24"/>
        </w:rPr>
        <w:t>2               D</w:t>
      </w:r>
      <w:r>
        <w:rPr>
          <w:rFonts w:hint="eastAsia"/>
          <w:color w:val="000000"/>
          <w:sz w:val="24"/>
        </w:rPr>
        <w:t>组第</w:t>
      </w:r>
      <w:r>
        <w:rPr>
          <w:rFonts w:hint="eastAsia"/>
          <w:color w:val="000000"/>
          <w:sz w:val="24"/>
        </w:rPr>
        <w:t>1  VS  B</w:t>
      </w:r>
      <w:r>
        <w:rPr>
          <w:rFonts w:hint="eastAsia"/>
          <w:color w:val="000000"/>
          <w:sz w:val="24"/>
        </w:rPr>
        <w:t>组第</w:t>
      </w:r>
      <w:r>
        <w:rPr>
          <w:rFonts w:hint="eastAsia"/>
          <w:color w:val="000000"/>
          <w:sz w:val="24"/>
        </w:rPr>
        <w:t>2</w:t>
      </w:r>
    </w:p>
    <w:p>
      <w:pPr>
        <w:pStyle w:val="style0"/>
        <w:numPr>
          <w:ilvl w:val="0"/>
          <w:numId w:val="4"/>
        </w:numPr>
        <w:tabs>
          <w:tab w:val="left" w:leader="none" w:pos="360"/>
        </w:tabs>
        <w:rPr>
          <w:color w:val="000000"/>
          <w:sz w:val="24"/>
        </w:rPr>
      </w:pPr>
      <w:r>
        <w:rPr>
          <w:rFonts w:hint="eastAsia"/>
          <w:color w:val="000000"/>
          <w:sz w:val="24"/>
        </w:rPr>
        <w:t>淘汰赛四强队伍抽签选择对手，</w:t>
      </w:r>
      <w:r>
        <w:rPr>
          <w:rFonts w:hint="eastAsia"/>
          <w:color w:val="ff0000"/>
          <w:sz w:val="24"/>
        </w:rPr>
        <w:t>没有小组回避原则</w:t>
      </w:r>
    </w:p>
    <w:p>
      <w:pPr>
        <w:pStyle w:val="style0"/>
        <w:numPr>
          <w:ilvl w:val="0"/>
          <w:numId w:val="4"/>
        </w:numPr>
        <w:tabs>
          <w:tab w:val="left" w:leader="none" w:pos="360"/>
        </w:tabs>
        <w:rPr>
          <w:color w:val="000000"/>
          <w:sz w:val="24"/>
        </w:rPr>
      </w:pPr>
      <w:r>
        <w:rPr>
          <w:rFonts w:hint="eastAsia"/>
          <w:bCs/>
          <w:sz w:val="24"/>
        </w:rPr>
        <w:t>淘汰赛</w:t>
      </w:r>
      <w:r>
        <w:rPr>
          <w:rFonts w:hint="eastAsia"/>
          <w:color w:val="000000"/>
          <w:sz w:val="24"/>
        </w:rPr>
        <w:t>采用单场淘汰赛制，胜者进入下一轮，负者淘汰</w:t>
      </w:r>
      <w:r>
        <w:rPr>
          <w:color w:val="000000"/>
          <w:sz w:val="24"/>
        </w:rPr>
        <w:t>。若常规比赛时间内双方仍为平局，则直接进行点球比赛，直到决出胜负无附加赛。</w:t>
      </w:r>
    </w:p>
    <w:p>
      <w:pPr>
        <w:pStyle w:val="style0"/>
        <w:tabs>
          <w:tab w:val="left" w:leader="none" w:pos="360"/>
          <w:tab w:val="left" w:leader="none" w:pos="425"/>
        </w:tabs>
        <w:ind w:left="425"/>
        <w:rPr>
          <w:color w:val="000000"/>
          <w:sz w:val="24"/>
        </w:rPr>
      </w:pPr>
      <w:r>
        <w:rPr>
          <w:rFonts w:hint="eastAsia"/>
          <w:bCs/>
          <w:sz w:val="24"/>
        </w:rPr>
        <w:t>-------------------------------------------------------------------------------------------------</w:t>
      </w:r>
    </w:p>
    <w:p>
      <w:pPr>
        <w:pStyle w:val="style0"/>
        <w:numPr>
          <w:ilvl w:val="0"/>
          <w:numId w:val="4"/>
        </w:numPr>
        <w:tabs>
          <w:tab w:val="left" w:leader="none" w:pos="360"/>
        </w:tabs>
        <w:rPr>
          <w:color w:val="ff0000"/>
          <w:sz w:val="24"/>
        </w:rPr>
      </w:pPr>
      <w:r>
        <w:rPr>
          <w:bCs/>
          <w:sz w:val="24"/>
        </w:rPr>
        <w:t>小组</w:t>
      </w:r>
      <w:r>
        <w:rPr>
          <w:rFonts w:hint="eastAsia"/>
          <w:bCs/>
          <w:sz w:val="24"/>
        </w:rPr>
        <w:t>赛</w:t>
      </w:r>
      <w:r>
        <w:rPr>
          <w:rFonts w:hint="eastAsia"/>
          <w:color w:val="000000"/>
          <w:sz w:val="24"/>
        </w:rPr>
        <w:t>中每队胜一场得</w:t>
      </w:r>
      <w:r>
        <w:rPr>
          <w:rFonts w:hint="eastAsia"/>
          <w:color w:val="000000"/>
          <w:sz w:val="24"/>
        </w:rPr>
        <w:t>3</w:t>
      </w:r>
      <w:r>
        <w:rPr>
          <w:rFonts w:hint="eastAsia"/>
          <w:color w:val="000000"/>
          <w:sz w:val="24"/>
        </w:rPr>
        <w:t>分，平一场得</w:t>
      </w:r>
      <w:r>
        <w:rPr>
          <w:rFonts w:hint="eastAsia"/>
          <w:color w:val="000000"/>
          <w:sz w:val="24"/>
        </w:rPr>
        <w:t>1</w:t>
      </w:r>
      <w:r>
        <w:rPr>
          <w:rFonts w:hint="eastAsia"/>
          <w:color w:val="000000"/>
          <w:sz w:val="24"/>
        </w:rPr>
        <w:t>分，负一场得</w:t>
      </w:r>
      <w:r>
        <w:rPr>
          <w:rFonts w:hint="eastAsia"/>
          <w:color w:val="000000"/>
          <w:sz w:val="24"/>
        </w:rPr>
        <w:t>0</w:t>
      </w:r>
      <w:r>
        <w:rPr>
          <w:rFonts w:hint="eastAsia"/>
          <w:color w:val="000000"/>
          <w:sz w:val="24"/>
        </w:rPr>
        <w:t>分。名次</w:t>
      </w:r>
      <w:r>
        <w:rPr>
          <w:rFonts w:hint="eastAsia"/>
          <w:color w:val="000000"/>
          <w:sz w:val="24"/>
          <w:lang w:eastAsia="zh-CN"/>
        </w:rPr>
        <w:t>排</w:t>
      </w:r>
      <w:r>
        <w:rPr>
          <w:rFonts w:hint="eastAsia"/>
          <w:color w:val="000000"/>
          <w:sz w:val="24"/>
        </w:rPr>
        <w:t>定</w:t>
      </w:r>
      <w:r>
        <w:rPr>
          <w:rFonts w:hint="eastAsia"/>
          <w:color w:val="000000"/>
          <w:sz w:val="24"/>
          <w:lang w:eastAsia="zh-CN"/>
        </w:rPr>
        <w:t>规则为</w:t>
      </w:r>
      <w:r>
        <w:rPr>
          <w:rFonts w:hint="default"/>
          <w:color w:val="000000"/>
          <w:sz w:val="24"/>
          <w:lang w:val="en-US" w:eastAsia="zh-CN"/>
        </w:rPr>
        <w:t>:</w:t>
      </w:r>
    </w:p>
    <w:p>
      <w:pPr>
        <w:pStyle w:val="style0"/>
        <w:numPr>
          <w:ilvl w:val="0"/>
          <w:numId w:val="0"/>
        </w:numPr>
        <w:tabs>
          <w:tab w:val="left" w:leader="none" w:pos="360"/>
        </w:tabs>
        <w:ind w:left="425" w:firstLine="0"/>
        <w:rPr>
          <w:color w:val="ff0000"/>
          <w:sz w:val="24"/>
        </w:rPr>
      </w:pPr>
      <w:r>
        <w:rPr>
          <w:color w:val="ff0000"/>
          <w:sz w:val="24"/>
          <w:lang w:val="en-US"/>
        </w:rPr>
        <w:t>1．积分相等队之间相互比赛积分多者，名次列前；2．积分相等队之间相互比赛净胜球多者，名次列前；3．积分相等队之间相互比赛进球多者，名次列前；4．积分相等队在全部比赛中净胜球多者，名次列前；5．积分相等队在全部比赛中进球数多者，名次列前；6．积分相等队在全部比赛中公平竞赛积分高者，名次列前（一张黄牌减1 分，两黄变一红减3 分，直接被出示红牌减4 分，一张黄牌加一张直接红牌减5 分）;7．以抽签的办法决定名次。</w:t>
      </w:r>
    </w:p>
    <w:p>
      <w:pPr>
        <w:pStyle w:val="style0"/>
        <w:tabs>
          <w:tab w:val="left" w:leader="none" w:pos="360"/>
          <w:tab w:val="left" w:leader="none" w:pos="425"/>
        </w:tabs>
        <w:ind w:left="425"/>
        <w:rPr>
          <w:color w:val="ff0000"/>
          <w:sz w:val="24"/>
        </w:rPr>
      </w:pPr>
      <w:r>
        <w:rPr>
          <w:color w:val="ff0000"/>
          <w:sz w:val="24"/>
        </w:rPr>
        <w:t>-----------------------------------------------------------------</w:t>
      </w:r>
    </w:p>
    <w:p>
      <w:pPr>
        <w:pStyle w:val="style0"/>
        <w:numPr>
          <w:ilvl w:val="0"/>
          <w:numId w:val="4"/>
        </w:numPr>
        <w:tabs>
          <w:tab w:val="left" w:leader="none" w:pos="360"/>
        </w:tabs>
        <w:rPr>
          <w:color w:val="000000"/>
          <w:sz w:val="24"/>
        </w:rPr>
      </w:pPr>
      <w:r>
        <w:rPr>
          <w:rFonts w:hint="eastAsia"/>
          <w:color w:val="000000"/>
          <w:sz w:val="24"/>
        </w:rPr>
        <w:t>在淘汰赛制的比赛中，</w:t>
      </w:r>
      <w:r>
        <w:rPr>
          <w:rFonts w:hint="eastAsia"/>
          <w:color w:val="000000"/>
          <w:sz w:val="24"/>
        </w:rPr>
        <w:t>70</w:t>
      </w:r>
      <w:r>
        <w:rPr>
          <w:rFonts w:hint="eastAsia"/>
          <w:color w:val="000000"/>
          <w:sz w:val="24"/>
        </w:rPr>
        <w:t>分钟结束后为平局，则直接以罚点球决定胜负。</w:t>
      </w:r>
    </w:p>
    <w:p>
      <w:pPr>
        <w:pStyle w:val="style0"/>
        <w:ind w:firstLine="480" w:firstLineChars="200"/>
        <w:rPr>
          <w:color w:val="000000"/>
          <w:sz w:val="24"/>
        </w:rPr>
      </w:pPr>
      <w:r>
        <w:rPr>
          <w:rFonts w:hint="eastAsia"/>
          <w:bCs/>
          <w:sz w:val="24"/>
        </w:rPr>
        <w:t>点球大战</w:t>
      </w:r>
      <w:r>
        <w:rPr>
          <w:rFonts w:hint="eastAsia"/>
          <w:color w:val="000000"/>
          <w:sz w:val="24"/>
        </w:rPr>
        <w:t>程序：</w:t>
      </w:r>
    </w:p>
    <w:p>
      <w:pPr>
        <w:pStyle w:val="style0"/>
        <w:numPr>
          <w:ilvl w:val="0"/>
          <w:numId w:val="6"/>
        </w:numPr>
        <w:tabs>
          <w:tab w:val="left" w:leader="none" w:pos="360"/>
        </w:tabs>
        <w:rPr>
          <w:color w:val="000000"/>
          <w:sz w:val="24"/>
        </w:rPr>
      </w:pPr>
      <w:r>
        <w:rPr>
          <w:rFonts w:hint="eastAsia"/>
          <w:bCs/>
          <w:sz w:val="24"/>
        </w:rPr>
        <w:t>裁判员</w:t>
      </w:r>
      <w:r>
        <w:rPr>
          <w:rFonts w:hint="eastAsia"/>
          <w:color w:val="000000"/>
          <w:sz w:val="24"/>
        </w:rPr>
        <w:t>选定用于踢球点球的球门</w:t>
      </w:r>
    </w:p>
    <w:p>
      <w:pPr>
        <w:pStyle w:val="style0"/>
        <w:numPr>
          <w:ilvl w:val="0"/>
          <w:numId w:val="6"/>
        </w:numPr>
        <w:tabs>
          <w:tab w:val="left" w:leader="none" w:pos="360"/>
        </w:tabs>
        <w:rPr>
          <w:color w:val="000000"/>
          <w:sz w:val="24"/>
        </w:rPr>
      </w:pPr>
      <w:r>
        <w:rPr>
          <w:rFonts w:hint="eastAsia"/>
          <w:color w:val="000000"/>
          <w:sz w:val="24"/>
        </w:rPr>
        <w:t>采用投币方式，猜中的一方先踢</w:t>
      </w:r>
    </w:p>
    <w:p>
      <w:pPr>
        <w:pStyle w:val="style0"/>
        <w:numPr>
          <w:ilvl w:val="0"/>
          <w:numId w:val="6"/>
        </w:numPr>
        <w:tabs>
          <w:tab w:val="left" w:leader="none" w:pos="360"/>
        </w:tabs>
        <w:rPr>
          <w:color w:val="000000"/>
          <w:sz w:val="24"/>
        </w:rPr>
      </w:pPr>
      <w:r>
        <w:rPr>
          <w:rFonts w:hint="eastAsia"/>
          <w:color w:val="000000"/>
          <w:sz w:val="24"/>
        </w:rPr>
        <w:t>裁判员对</w:t>
      </w:r>
      <w:r>
        <w:rPr>
          <w:rFonts w:hint="eastAsia"/>
          <w:color w:val="000000"/>
          <w:sz w:val="24"/>
        </w:rPr>
        <w:t>踢球点球做记录</w:t>
      </w:r>
    </w:p>
    <w:p>
      <w:pPr>
        <w:pStyle w:val="style0"/>
        <w:numPr>
          <w:ilvl w:val="0"/>
          <w:numId w:val="6"/>
        </w:numPr>
        <w:tabs>
          <w:tab w:val="left" w:leader="none" w:pos="360"/>
        </w:tabs>
        <w:rPr>
          <w:color w:val="000000"/>
          <w:sz w:val="24"/>
        </w:rPr>
      </w:pPr>
      <w:r>
        <w:rPr>
          <w:rFonts w:hint="eastAsia"/>
          <w:color w:val="000000"/>
          <w:sz w:val="24"/>
        </w:rPr>
        <w:t>按照下列解释，两队应各踢</w:t>
      </w:r>
      <w:r>
        <w:rPr>
          <w:rFonts w:hint="eastAsia"/>
          <w:color w:val="000000"/>
          <w:sz w:val="24"/>
        </w:rPr>
        <w:t>5</w:t>
      </w:r>
      <w:r>
        <w:rPr>
          <w:rFonts w:hint="eastAsia"/>
          <w:color w:val="000000"/>
          <w:sz w:val="24"/>
        </w:rPr>
        <w:t>次</w:t>
      </w:r>
    </w:p>
    <w:p>
      <w:pPr>
        <w:pStyle w:val="style0"/>
        <w:numPr>
          <w:ilvl w:val="0"/>
          <w:numId w:val="6"/>
        </w:numPr>
        <w:tabs>
          <w:tab w:val="left" w:leader="none" w:pos="360"/>
        </w:tabs>
        <w:rPr>
          <w:color w:val="000000"/>
          <w:sz w:val="24"/>
        </w:rPr>
      </w:pPr>
      <w:r>
        <w:rPr>
          <w:rFonts w:hint="eastAsia"/>
          <w:color w:val="000000"/>
          <w:sz w:val="24"/>
        </w:rPr>
        <w:t>双方轮流踢</w:t>
      </w:r>
    </w:p>
    <w:p>
      <w:pPr>
        <w:pStyle w:val="style0"/>
        <w:numPr>
          <w:ilvl w:val="0"/>
          <w:numId w:val="6"/>
        </w:numPr>
        <w:tabs>
          <w:tab w:val="left" w:leader="none" w:pos="360"/>
        </w:tabs>
        <w:rPr>
          <w:color w:val="000000"/>
          <w:sz w:val="24"/>
        </w:rPr>
      </w:pPr>
      <w:r>
        <w:rPr>
          <w:rFonts w:hint="eastAsia"/>
          <w:color w:val="000000"/>
          <w:sz w:val="24"/>
        </w:rPr>
        <w:t>如果两队在踢满</w:t>
      </w:r>
      <w:r>
        <w:rPr>
          <w:rFonts w:hint="eastAsia"/>
          <w:color w:val="000000"/>
          <w:sz w:val="24"/>
        </w:rPr>
        <w:t>5</w:t>
      </w:r>
      <w:r>
        <w:rPr>
          <w:rFonts w:hint="eastAsia"/>
          <w:color w:val="000000"/>
          <w:sz w:val="24"/>
        </w:rPr>
        <w:t>次前，一队的进球数已多于另一队踢满</w:t>
      </w:r>
      <w:r>
        <w:rPr>
          <w:rFonts w:hint="eastAsia"/>
          <w:color w:val="000000"/>
          <w:sz w:val="24"/>
        </w:rPr>
        <w:t>5</w:t>
      </w:r>
      <w:r>
        <w:rPr>
          <w:rFonts w:hint="eastAsia"/>
          <w:color w:val="000000"/>
          <w:sz w:val="24"/>
        </w:rPr>
        <w:t>次时可能射中的球数，则不需再踢</w:t>
      </w:r>
    </w:p>
    <w:p>
      <w:pPr>
        <w:pStyle w:val="style0"/>
        <w:numPr>
          <w:ilvl w:val="0"/>
          <w:numId w:val="6"/>
        </w:numPr>
        <w:tabs>
          <w:tab w:val="left" w:leader="none" w:pos="360"/>
        </w:tabs>
        <w:rPr>
          <w:color w:val="000000"/>
          <w:sz w:val="24"/>
        </w:rPr>
      </w:pPr>
      <w:r>
        <w:rPr>
          <w:rFonts w:hint="eastAsia"/>
          <w:color w:val="000000"/>
          <w:sz w:val="24"/>
        </w:rPr>
        <w:t>如果两队均已踢满</w:t>
      </w:r>
      <w:r>
        <w:rPr>
          <w:rFonts w:hint="eastAsia"/>
          <w:color w:val="000000"/>
          <w:sz w:val="24"/>
        </w:rPr>
        <w:t>5</w:t>
      </w:r>
      <w:r>
        <w:rPr>
          <w:rFonts w:hint="eastAsia"/>
          <w:color w:val="000000"/>
          <w:sz w:val="24"/>
        </w:rPr>
        <w:t>次，双方进球数相同或均未进球，则按同样轮流的顺序</w:t>
      </w:r>
      <w:r>
        <w:rPr>
          <w:rFonts w:hint="eastAsia"/>
          <w:color w:val="000000"/>
          <w:sz w:val="24"/>
        </w:rPr>
        <w:t>依次踢点球，直至同一轮中一方踢丢点球，一方踢进，则踢进的一方直接获胜。</w:t>
      </w:r>
    </w:p>
    <w:p>
      <w:pPr>
        <w:pStyle w:val="style0"/>
        <w:numPr>
          <w:ilvl w:val="0"/>
          <w:numId w:val="6"/>
        </w:numPr>
        <w:tabs>
          <w:tab w:val="left" w:leader="none" w:pos="360"/>
        </w:tabs>
        <w:rPr>
          <w:color w:val="000000"/>
          <w:sz w:val="24"/>
        </w:rPr>
      </w:pPr>
      <w:r>
        <w:rPr>
          <w:rFonts w:hint="eastAsia"/>
          <w:color w:val="000000"/>
          <w:sz w:val="24"/>
        </w:rPr>
        <w:t>在踢球点球过程中，场上守门员受伤不能继续比赛时，可由竞赛规程规定的最大限额内被提名而尚未使用过的替补队员进行替换</w:t>
      </w:r>
    </w:p>
    <w:p>
      <w:pPr>
        <w:pStyle w:val="style0"/>
        <w:numPr>
          <w:ilvl w:val="0"/>
          <w:numId w:val="6"/>
        </w:numPr>
        <w:tabs>
          <w:tab w:val="left" w:leader="none" w:pos="360"/>
        </w:tabs>
        <w:rPr>
          <w:color w:val="000000"/>
          <w:sz w:val="24"/>
        </w:rPr>
      </w:pPr>
      <w:r>
        <w:rPr>
          <w:rFonts w:hint="eastAsia"/>
          <w:b/>
          <w:bCs/>
          <w:noProof/>
          <w:color w:val="000000"/>
          <w:sz w:val="24"/>
        </w:rPr>
        <w:drawing>
          <wp:anchor distT="0" distB="0" distL="0" distR="0" simplePos="false" relativeHeight="4" behindDoc="true" locked="false" layoutInCell="true" allowOverlap="true">
            <wp:simplePos x="0" y="0"/>
            <wp:positionH relativeFrom="column">
              <wp:posOffset>4445</wp:posOffset>
            </wp:positionH>
            <wp:positionV relativeFrom="paragraph">
              <wp:posOffset>337820</wp:posOffset>
            </wp:positionV>
            <wp:extent cx="5272405" cy="5272405"/>
            <wp:effectExtent l="0" t="0" r="4445" b="4445"/>
            <wp:wrapNone/>
            <wp:docPr id="1029" name="圖片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圖片 3"/>
                    <pic:cNvPicPr/>
                  </pic:nvPicPr>
                  <pic:blipFill>
                    <a:blip r:embed="rId2" cstate="print">
                      <a:lum bright="68000" contrast="-70000"/>
                    </a:blip>
                    <a:srcRect l="0" t="0" r="0" b="0"/>
                    <a:stretch/>
                  </pic:blipFill>
                  <pic:spPr>
                    <a:xfrm rot="0">
                      <a:off x="0" y="0"/>
                      <a:ext cx="5272405" cy="5272405"/>
                    </a:xfrm>
                    <a:prstGeom prst="rect"/>
                    <a:ln>
                      <a:noFill/>
                    </a:ln>
                  </pic:spPr>
                </pic:pic>
              </a:graphicData>
            </a:graphic>
          </wp:anchor>
        </w:drawing>
      </w:r>
      <w:r>
        <w:rPr>
          <w:rFonts w:hint="eastAsia"/>
          <w:color w:val="000000"/>
          <w:sz w:val="24"/>
        </w:rPr>
        <w:t>除上一条所述的情况，只有比赛结束时，包括在规定的延长期比赛结束时在场上的队员方可参加踢球点球</w:t>
      </w:r>
    </w:p>
    <w:p>
      <w:pPr>
        <w:pStyle w:val="style0"/>
        <w:numPr>
          <w:ilvl w:val="0"/>
          <w:numId w:val="6"/>
        </w:numPr>
        <w:tabs>
          <w:tab w:val="left" w:leader="none" w:pos="360"/>
        </w:tabs>
        <w:rPr>
          <w:color w:val="ff0000"/>
          <w:sz w:val="24"/>
        </w:rPr>
      </w:pPr>
      <w:r>
        <w:rPr>
          <w:rFonts w:hint="eastAsia"/>
          <w:color w:val="ff0000"/>
          <w:sz w:val="24"/>
        </w:rPr>
        <w:t>每次应由不同的队员踢球</w:t>
      </w:r>
      <w:r>
        <w:rPr>
          <w:rFonts w:hint="eastAsia"/>
          <w:color w:val="ff0000"/>
          <w:sz w:val="24"/>
        </w:rPr>
        <w:t>点球，直至双方符合资格的队员（包括守门员）均踢过一次后，方可踢第二次</w:t>
      </w:r>
    </w:p>
    <w:p>
      <w:pPr>
        <w:pStyle w:val="style0"/>
        <w:numPr>
          <w:ilvl w:val="0"/>
          <w:numId w:val="6"/>
        </w:numPr>
        <w:tabs>
          <w:tab w:val="left" w:leader="none" w:pos="360"/>
        </w:tabs>
        <w:rPr>
          <w:color w:val="000000"/>
          <w:sz w:val="24"/>
        </w:rPr>
      </w:pPr>
      <w:r>
        <w:rPr>
          <w:rFonts w:hint="eastAsia"/>
          <w:color w:val="000000"/>
          <w:sz w:val="24"/>
        </w:rPr>
        <w:t>在踢点球的过程中，符合资格的队员可以与守门员互换位置</w:t>
      </w:r>
    </w:p>
    <w:p>
      <w:pPr>
        <w:pStyle w:val="style0"/>
        <w:numPr>
          <w:ilvl w:val="0"/>
          <w:numId w:val="6"/>
        </w:numPr>
        <w:tabs>
          <w:tab w:val="left" w:leader="none" w:pos="360"/>
        </w:tabs>
        <w:rPr>
          <w:color w:val="000000"/>
          <w:sz w:val="24"/>
        </w:rPr>
      </w:pPr>
      <w:r>
        <w:rPr>
          <w:rFonts w:hint="eastAsia"/>
          <w:color w:val="000000"/>
          <w:sz w:val="24"/>
        </w:rPr>
        <w:t>在踢点球的过程中，只允许符合资格的队员和执法裁判员在场内，其余无关人员应在场外。</w:t>
      </w:r>
    </w:p>
    <w:p>
      <w:pPr>
        <w:pStyle w:val="style0"/>
        <w:numPr>
          <w:ilvl w:val="0"/>
          <w:numId w:val="6"/>
        </w:numPr>
        <w:tabs>
          <w:tab w:val="left" w:leader="none" w:pos="360"/>
        </w:tabs>
        <w:rPr>
          <w:color w:val="000000"/>
          <w:sz w:val="24"/>
        </w:rPr>
      </w:pPr>
      <w:r>
        <w:rPr>
          <w:rFonts w:hint="eastAsia"/>
          <w:color w:val="000000"/>
          <w:sz w:val="24"/>
        </w:rPr>
        <w:t>除踢点球的队员和两名守门员外，其他所有队员必须在中圈内</w:t>
      </w:r>
    </w:p>
    <w:p>
      <w:pPr>
        <w:pStyle w:val="style0"/>
        <w:numPr>
          <w:ilvl w:val="0"/>
          <w:numId w:val="6"/>
        </w:numPr>
        <w:tabs>
          <w:tab w:val="left" w:leader="none" w:pos="360"/>
        </w:tabs>
        <w:rPr>
          <w:color w:val="ff0000"/>
          <w:sz w:val="24"/>
        </w:rPr>
      </w:pPr>
      <w:r>
        <w:rPr>
          <w:rFonts w:hint="eastAsia"/>
          <w:color w:val="ff0000"/>
          <w:sz w:val="24"/>
        </w:rPr>
        <w:t>在扑点球时守门员</w:t>
      </w:r>
      <w:r>
        <w:rPr>
          <w:rFonts w:hint="eastAsia"/>
          <w:color w:val="ff0000"/>
          <w:sz w:val="24"/>
          <w:lang w:eastAsia="zh-CN"/>
        </w:rPr>
        <w:t>必须有一只脚不能离开球门线</w:t>
      </w:r>
      <w:r>
        <w:rPr>
          <w:rFonts w:hint="eastAsia"/>
          <w:color w:val="ff0000"/>
          <w:sz w:val="24"/>
        </w:rPr>
        <w:t>，若违反规则，点球踢进不进行重罚，若踢丢将进行重罚。</w:t>
      </w:r>
    </w:p>
    <w:p>
      <w:pPr>
        <w:pStyle w:val="style0"/>
        <w:numPr>
          <w:ilvl w:val="0"/>
          <w:numId w:val="6"/>
        </w:numPr>
        <w:tabs>
          <w:tab w:val="left" w:leader="none" w:pos="360"/>
        </w:tabs>
        <w:rPr>
          <w:color w:val="ff0000"/>
          <w:sz w:val="24"/>
        </w:rPr>
      </w:pPr>
      <w:r>
        <w:rPr>
          <w:rFonts w:hint="eastAsia"/>
          <w:color w:val="ff0000"/>
          <w:sz w:val="24"/>
        </w:rPr>
        <w:t>球员在助跑过程中不得中途停止前进或虚晃射门，否则将取消点球资格；</w:t>
      </w:r>
    </w:p>
    <w:p>
      <w:pPr>
        <w:pStyle w:val="style0"/>
        <w:numPr>
          <w:ilvl w:val="0"/>
          <w:numId w:val="6"/>
        </w:numPr>
        <w:tabs>
          <w:tab w:val="left" w:leader="none" w:pos="360"/>
        </w:tabs>
        <w:rPr>
          <w:color w:val="000000"/>
          <w:sz w:val="24"/>
        </w:rPr>
      </w:pPr>
      <w:r>
        <w:rPr>
          <w:rFonts w:hint="eastAsia"/>
          <w:color w:val="000000"/>
          <w:sz w:val="24"/>
        </w:rPr>
        <w:t>除非另有所述，有关足球竞赛规则和国际足球理事会的决议应在踢球点球决胜时实施</w:t>
      </w:r>
    </w:p>
    <w:p>
      <w:pPr>
        <w:pStyle w:val="style0"/>
        <w:numPr>
          <w:ilvl w:val="0"/>
          <w:numId w:val="6"/>
        </w:numPr>
        <w:tabs>
          <w:tab w:val="left" w:leader="none" w:pos="360"/>
        </w:tabs>
        <w:rPr>
          <w:color w:val="000000"/>
          <w:sz w:val="24"/>
        </w:rPr>
      </w:pPr>
      <w:r>
        <w:rPr>
          <w:rFonts w:hint="eastAsia"/>
          <w:color w:val="000000"/>
          <w:sz w:val="24"/>
        </w:rPr>
        <w:t>比赛结束时，如果双方人数不等，人数多的一方应减去多出的人数以与对方人数一致，并通知裁判员出场队员的名字和号码。球队队长负责此事</w:t>
      </w:r>
    </w:p>
    <w:p>
      <w:pPr>
        <w:pStyle w:val="style0"/>
        <w:numPr>
          <w:ilvl w:val="0"/>
          <w:numId w:val="6"/>
        </w:numPr>
        <w:tabs>
          <w:tab w:val="left" w:leader="none" w:pos="360"/>
        </w:tabs>
        <w:rPr>
          <w:color w:val="000000"/>
          <w:sz w:val="24"/>
        </w:rPr>
      </w:pPr>
      <w:r>
        <w:rPr>
          <w:rFonts w:hint="eastAsia"/>
          <w:color w:val="000000"/>
          <w:sz w:val="24"/>
        </w:rPr>
        <w:t>在开始踢球点球决胜之前，裁判员应确定留在中圈里的双方队员人数一致后再执行踢球点球</w:t>
      </w:r>
    </w:p>
    <w:p>
      <w:pPr>
        <w:pStyle w:val="style0"/>
        <w:numPr>
          <w:ilvl w:val="0"/>
          <w:numId w:val="1"/>
        </w:numPr>
        <w:tabs>
          <w:tab w:val="left" w:leader="none" w:pos="360"/>
        </w:tabs>
        <w:ind w:left="360"/>
        <w:rPr>
          <w:b/>
          <w:bCs/>
          <w:color w:val="000000"/>
          <w:sz w:val="24"/>
        </w:rPr>
      </w:pPr>
      <w:r>
        <w:rPr>
          <w:rFonts w:hint="eastAsia"/>
          <w:b/>
          <w:bCs/>
          <w:color w:val="000000"/>
          <w:sz w:val="24"/>
        </w:rPr>
        <w:t>比赛规则及相关规定</w:t>
      </w:r>
    </w:p>
    <w:p>
      <w:pPr>
        <w:pStyle w:val="style0"/>
        <w:numPr>
          <w:ilvl w:val="0"/>
          <w:numId w:val="7"/>
        </w:numPr>
        <w:rPr>
          <w:sz w:val="24"/>
        </w:rPr>
      </w:pPr>
      <w:r>
        <w:rPr>
          <w:rFonts w:hint="eastAsia"/>
          <w:sz w:val="24"/>
        </w:rPr>
        <w:t>执行国家体育总局审定的最新版本《足球竞赛规则》</w:t>
      </w:r>
    </w:p>
    <w:p>
      <w:pPr>
        <w:pStyle w:val="style0"/>
        <w:numPr>
          <w:ilvl w:val="0"/>
          <w:numId w:val="7"/>
        </w:numPr>
        <w:rPr>
          <w:color w:val="000000"/>
          <w:sz w:val="24"/>
        </w:rPr>
      </w:pPr>
      <w:r>
        <w:rPr>
          <w:rFonts w:hint="eastAsia"/>
          <w:sz w:val="24"/>
        </w:rPr>
        <w:t>各队上场队员的足球鞋为皮面胶钉鞋或碎钉鞋，</w:t>
      </w:r>
      <w:r>
        <w:rPr>
          <w:rFonts w:hint="eastAsia"/>
          <w:color w:val="ff0000"/>
          <w:sz w:val="24"/>
        </w:rPr>
        <w:t>必须穿足球袜</w:t>
      </w:r>
      <w:r>
        <w:rPr>
          <w:rFonts w:hint="eastAsia"/>
          <w:color w:val="ff0000"/>
          <w:sz w:val="24"/>
        </w:rPr>
        <w:t>,</w:t>
      </w:r>
      <w:r>
        <w:rPr>
          <w:rFonts w:hint="eastAsia"/>
          <w:color w:val="ff0000"/>
          <w:sz w:val="24"/>
        </w:rPr>
        <w:t>佩戴护腿板</w:t>
      </w:r>
      <w:r>
        <w:rPr>
          <w:rFonts w:hint="eastAsia"/>
          <w:sz w:val="24"/>
        </w:rPr>
        <w:t>。禁止佩戴饰物及眼镜</w:t>
      </w:r>
      <w:r>
        <w:rPr>
          <w:rFonts w:hint="eastAsia"/>
          <w:color w:val="ff0000"/>
          <w:sz w:val="24"/>
        </w:rPr>
        <w:t>（运动眼镜和隐形眼镜除外）</w:t>
      </w:r>
      <w:r>
        <w:rPr>
          <w:rFonts w:hint="eastAsia"/>
          <w:color w:val="000000"/>
          <w:sz w:val="24"/>
        </w:rPr>
        <w:t>，违者一律不得上场</w:t>
      </w:r>
    </w:p>
    <w:p>
      <w:pPr>
        <w:pStyle w:val="style0"/>
        <w:numPr>
          <w:ilvl w:val="0"/>
          <w:numId w:val="7"/>
        </w:numPr>
        <w:rPr>
          <w:color w:val="000000"/>
          <w:sz w:val="24"/>
        </w:rPr>
      </w:pPr>
      <w:r>
        <w:rPr>
          <w:rFonts w:hint="eastAsia"/>
          <w:color w:val="000000"/>
          <w:sz w:val="24"/>
        </w:rPr>
        <w:t>比赛为十一人制，比赛时间为</w:t>
      </w:r>
      <w:r>
        <w:rPr>
          <w:rFonts w:hint="eastAsia"/>
          <w:color w:val="000000"/>
          <w:sz w:val="24"/>
        </w:rPr>
        <w:t>70</w:t>
      </w:r>
      <w:r>
        <w:rPr>
          <w:rFonts w:hint="eastAsia"/>
          <w:color w:val="000000"/>
          <w:sz w:val="24"/>
        </w:rPr>
        <w:t>分钟，上下半场各</w:t>
      </w:r>
      <w:r>
        <w:rPr>
          <w:rFonts w:hint="eastAsia"/>
          <w:color w:val="000000"/>
          <w:sz w:val="24"/>
        </w:rPr>
        <w:t>35</w:t>
      </w:r>
      <w:r>
        <w:rPr>
          <w:rFonts w:hint="eastAsia"/>
          <w:color w:val="000000"/>
          <w:sz w:val="24"/>
        </w:rPr>
        <w:t>分钟，中场休息为</w:t>
      </w:r>
      <w:r>
        <w:rPr>
          <w:rFonts w:hint="eastAsia"/>
          <w:color w:val="000000"/>
          <w:sz w:val="24"/>
        </w:rPr>
        <w:t>15</w:t>
      </w:r>
      <w:r>
        <w:rPr>
          <w:rFonts w:hint="eastAsia"/>
          <w:color w:val="000000"/>
          <w:sz w:val="24"/>
        </w:rPr>
        <w:t>分钟，比赛用球为</w:t>
      </w:r>
      <w:r>
        <w:rPr>
          <w:rFonts w:hint="eastAsia"/>
          <w:color w:val="000000"/>
          <w:sz w:val="24"/>
        </w:rPr>
        <w:t>5</w:t>
      </w:r>
      <w:r>
        <w:rPr>
          <w:rFonts w:hint="eastAsia"/>
          <w:color w:val="000000"/>
          <w:sz w:val="24"/>
        </w:rPr>
        <w:t>号球</w:t>
      </w:r>
    </w:p>
    <w:p>
      <w:pPr>
        <w:pStyle w:val="style0"/>
        <w:numPr>
          <w:ilvl w:val="0"/>
          <w:numId w:val="7"/>
        </w:numPr>
        <w:rPr>
          <w:color w:val="000000"/>
          <w:sz w:val="24"/>
        </w:rPr>
      </w:pPr>
      <w:r>
        <w:rPr>
          <w:rFonts w:hint="eastAsia"/>
          <w:color w:val="000000"/>
          <w:sz w:val="24"/>
        </w:rPr>
        <w:t>累计黄牌达两次者，自然停止下一场比赛资格；直接被出示红牌者当即停止当场比赛资格（严重恶意犯规直接取消本次杯赛比赛资格），将自然停止下一场比赛资格。</w:t>
      </w:r>
      <w:r>
        <w:rPr>
          <w:rFonts w:hint="eastAsia"/>
          <w:color w:val="ff0000"/>
          <w:sz w:val="24"/>
        </w:rPr>
        <w:t>八强赛（八进四）结束</w:t>
      </w:r>
      <w:r>
        <w:rPr>
          <w:color w:val="ff0000"/>
          <w:sz w:val="24"/>
        </w:rPr>
        <w:t>后所有球员进行一次</w:t>
      </w:r>
      <w:r>
        <w:rPr>
          <w:rFonts w:hint="eastAsia"/>
          <w:color w:val="ff0000"/>
          <w:sz w:val="24"/>
        </w:rPr>
        <w:t>清牌。</w:t>
      </w:r>
    </w:p>
    <w:p>
      <w:pPr>
        <w:pStyle w:val="style0"/>
        <w:widowControl/>
        <w:numPr>
          <w:ilvl w:val="0"/>
          <w:numId w:val="7"/>
        </w:numPr>
        <w:adjustRightInd w:val="false"/>
        <w:snapToGrid w:val="false"/>
        <w:spacing w:lineRule="auto" w:line="360"/>
        <w:jc w:val="left"/>
        <w:rPr>
          <w:rFonts w:ascii="宋体" w:eastAsia="宋体" w:hAnsi="宋体"/>
          <w:color w:val="ff0000"/>
          <w:sz w:val="24"/>
        </w:rPr>
      </w:pPr>
      <w:r>
        <w:rPr>
          <w:rFonts w:ascii="宋体" w:cs="黑体" w:eastAsia="宋体" w:hAnsi="宋体" w:hint="eastAsia"/>
          <w:color w:val="000000"/>
          <w:sz w:val="24"/>
        </w:rPr>
        <w:t>各</w:t>
      </w:r>
      <w:r>
        <w:rPr>
          <w:rFonts w:ascii="宋体" w:eastAsia="宋体" w:hAnsi="宋体" w:hint="eastAsia"/>
          <w:color w:val="000000"/>
          <w:sz w:val="24"/>
        </w:rPr>
        <w:t>队应提前三十分钟到场，赛前十分钟将比赛大名单（</w:t>
      </w:r>
      <w:r>
        <w:rPr>
          <w:rFonts w:ascii="宋体" w:eastAsia="宋体" w:hAnsi="宋体" w:hint="eastAsia"/>
          <w:color w:val="ff0000"/>
          <w:sz w:val="24"/>
        </w:rPr>
        <w:t>比赛大名单表格及换人表格请各队负责人自行在足协对外邮箱或指定邮箱下载并打印</w:t>
      </w:r>
      <w:r>
        <w:rPr>
          <w:rFonts w:ascii="宋体" w:eastAsia="宋体" w:hAnsi="宋体" w:hint="eastAsia"/>
          <w:color w:val="000000"/>
          <w:sz w:val="24"/>
        </w:rPr>
        <w:t>）和所有球员的身份证明材料（如</w:t>
      </w:r>
      <w:r>
        <w:rPr>
          <w:rFonts w:ascii="宋体" w:eastAsia="宋体" w:hAnsi="宋体" w:hint="eastAsia"/>
          <w:color w:val="ff0000"/>
          <w:sz w:val="24"/>
        </w:rPr>
        <w:t>校园卡，身份证，不包括支付宝认证</w:t>
      </w:r>
      <w:r>
        <w:rPr>
          <w:rFonts w:ascii="宋体" w:eastAsia="宋体" w:hAnsi="宋体" w:hint="eastAsia"/>
          <w:color w:val="000000"/>
          <w:sz w:val="24"/>
        </w:rPr>
        <w:t>）交裁判组进行队员资格核查，以保证比赛按时进行。</w:t>
      </w:r>
      <w:r>
        <w:rPr>
          <w:rFonts w:ascii="宋体" w:eastAsia="宋体" w:hAnsi="宋体" w:hint="eastAsia"/>
          <w:color w:val="ff0000"/>
          <w:sz w:val="24"/>
        </w:rPr>
        <w:t>比赛开始后十五分钟内仍未上交有效证件则不允许该球员上场比赛。</w:t>
      </w:r>
    </w:p>
    <w:p>
      <w:pPr>
        <w:pStyle w:val="style0"/>
        <w:numPr>
          <w:ilvl w:val="0"/>
          <w:numId w:val="7"/>
        </w:numPr>
        <w:rPr>
          <w:sz w:val="24"/>
        </w:rPr>
      </w:pPr>
      <w:r>
        <w:rPr>
          <w:rFonts w:hint="eastAsia"/>
          <w:sz w:val="24"/>
        </w:rPr>
        <w:t>需要进行球员替换时由球队领队将填有相关信息的换人表格上交于第四官员，</w:t>
      </w:r>
      <w:r>
        <w:rPr>
          <w:rFonts w:hint="eastAsia"/>
          <w:color w:val="ff0000"/>
          <w:sz w:val="24"/>
        </w:rPr>
        <w:t>若无换人表格，该球队不能进行换人</w:t>
      </w:r>
      <w:r>
        <w:rPr>
          <w:rFonts w:hint="eastAsia"/>
          <w:sz w:val="24"/>
        </w:rPr>
        <w:t>。球员上下场在球场中线处进行，且遵循</w:t>
      </w:r>
      <w:r>
        <w:rPr>
          <w:rFonts w:hint="eastAsia"/>
          <w:color w:val="ff0000"/>
          <w:sz w:val="24"/>
        </w:rPr>
        <w:t>先下后上</w:t>
      </w:r>
      <w:r>
        <w:rPr>
          <w:rFonts w:hint="eastAsia"/>
          <w:sz w:val="24"/>
        </w:rPr>
        <w:t>的原则（</w:t>
      </w:r>
      <w:r>
        <w:rPr>
          <w:rFonts w:hint="eastAsia"/>
          <w:color w:val="ff0000"/>
          <w:sz w:val="24"/>
        </w:rPr>
        <w:t>除场上球员受伤离场外，若不遵守先下后上将给予上场球员黄牌警告</w:t>
      </w:r>
      <w:r>
        <w:rPr>
          <w:rFonts w:hint="eastAsia"/>
          <w:sz w:val="24"/>
        </w:rPr>
        <w:t>）</w:t>
      </w:r>
    </w:p>
    <w:p>
      <w:pPr>
        <w:pStyle w:val="style0"/>
        <w:numPr>
          <w:ilvl w:val="0"/>
          <w:numId w:val="7"/>
        </w:numPr>
        <w:rPr>
          <w:color w:val="ff0000"/>
          <w:sz w:val="24"/>
        </w:rPr>
      </w:pPr>
      <w:r>
        <w:rPr>
          <w:rFonts w:hint="eastAsia"/>
          <w:sz w:val="24"/>
        </w:rPr>
        <w:t>球队需自备统一颜色、样式的比赛服装，守门员服装颜色应与上场队员有明显区别。所报的所有队员号码必须清晰。无号，重号，号码与报名单不符，不得上场比赛。若更改号码上场比赛，</w:t>
      </w:r>
      <w:r>
        <w:rPr>
          <w:rFonts w:hint="eastAsia"/>
          <w:color w:val="ff0000"/>
          <w:sz w:val="24"/>
        </w:rPr>
        <w:t>按弄虚作假论处（出示</w:t>
      </w:r>
      <w:r>
        <w:rPr>
          <w:rFonts w:hint="eastAsia"/>
          <w:color w:val="ff0000"/>
          <w:sz w:val="24"/>
        </w:rPr>
        <w:t>黄牌警告并扣</w:t>
      </w:r>
      <w:r>
        <w:rPr>
          <w:color w:val="ff0000"/>
          <w:sz w:val="24"/>
        </w:rPr>
        <w:t>除</w:t>
      </w:r>
      <w:r>
        <w:rPr>
          <w:rFonts w:hint="eastAsia"/>
          <w:color w:val="ff0000"/>
          <w:sz w:val="24"/>
        </w:rPr>
        <w:t>保证金</w:t>
      </w:r>
      <w:r>
        <w:rPr>
          <w:rFonts w:hint="eastAsia"/>
          <w:color w:val="ff0000"/>
          <w:sz w:val="24"/>
        </w:rPr>
        <w:t>50</w:t>
      </w:r>
      <w:r>
        <w:rPr>
          <w:rFonts w:hint="eastAsia"/>
          <w:color w:val="ff0000"/>
          <w:sz w:val="24"/>
        </w:rPr>
        <w:t>元）</w:t>
      </w:r>
    </w:p>
    <w:p>
      <w:pPr>
        <w:pStyle w:val="style0"/>
        <w:numPr>
          <w:ilvl w:val="0"/>
          <w:numId w:val="7"/>
        </w:numPr>
        <w:rPr>
          <w:sz w:val="24"/>
        </w:rPr>
      </w:pPr>
      <w:r>
        <w:rPr>
          <w:rFonts w:hint="eastAsia"/>
          <w:sz w:val="24"/>
        </w:rPr>
        <w:t>每场比赛替补名单可报</w:t>
      </w:r>
      <w:r>
        <w:rPr>
          <w:rFonts w:hint="eastAsia"/>
          <w:sz w:val="24"/>
        </w:rPr>
        <w:t>8</w:t>
      </w:r>
      <w:r>
        <w:rPr>
          <w:rFonts w:hint="eastAsia"/>
          <w:color w:val="ff0000"/>
          <w:sz w:val="24"/>
        </w:rPr>
        <w:t>人</w:t>
      </w:r>
      <w:r>
        <w:rPr>
          <w:rFonts w:hint="eastAsia"/>
          <w:sz w:val="24"/>
        </w:rPr>
        <w:t>，同一场比赛中被换下场的运动员不可重新上场比赛，每场比赛每队可替换</w:t>
      </w:r>
      <w:r>
        <w:rPr>
          <w:rFonts w:hint="eastAsia"/>
          <w:sz w:val="24"/>
        </w:rPr>
        <w:t>5</w:t>
      </w:r>
      <w:r>
        <w:rPr>
          <w:rFonts w:hint="eastAsia"/>
          <w:color w:val="ff0000"/>
          <w:sz w:val="24"/>
        </w:rPr>
        <w:t>人</w:t>
      </w:r>
      <w:r>
        <w:rPr>
          <w:rFonts w:hint="eastAsia"/>
          <w:sz w:val="24"/>
        </w:rPr>
        <w:t>，由球队领队将球员替换单交至该场比赛四官，没有球员替换单不予替换场上球员</w:t>
      </w:r>
    </w:p>
    <w:p>
      <w:pPr>
        <w:pStyle w:val="style0"/>
        <w:numPr>
          <w:ilvl w:val="0"/>
          <w:numId w:val="7"/>
        </w:numPr>
        <w:rPr>
          <w:sz w:val="24"/>
        </w:rPr>
      </w:pPr>
      <w:r>
        <w:rPr>
          <w:sz w:val="24"/>
        </w:rPr>
        <w:t>如果队员违反下列</w:t>
      </w:r>
      <w:r>
        <w:rPr>
          <w:rFonts w:hint="eastAsia"/>
          <w:sz w:val="24"/>
        </w:rPr>
        <w:t>九</w:t>
      </w:r>
      <w:r>
        <w:rPr>
          <w:sz w:val="24"/>
        </w:rPr>
        <w:t>种犯规中的任何一种，将被警告并出示黄牌：</w:t>
      </w:r>
    </w:p>
    <w:p>
      <w:pPr>
        <w:pStyle w:val="style4097"/>
        <w:numPr>
          <w:ilvl w:val="0"/>
          <w:numId w:val="8"/>
        </w:numPr>
        <w:ind w:firstLineChars="0"/>
        <w:rPr>
          <w:sz w:val="24"/>
        </w:rPr>
      </w:pPr>
      <w:r>
        <w:rPr>
          <w:sz w:val="24"/>
        </w:rPr>
        <w:t>犯有非体育道德行为；</w:t>
      </w:r>
    </w:p>
    <w:p>
      <w:pPr>
        <w:pStyle w:val="style4097"/>
        <w:numPr>
          <w:ilvl w:val="0"/>
          <w:numId w:val="8"/>
        </w:numPr>
        <w:ind w:firstLineChars="0"/>
        <w:rPr>
          <w:sz w:val="24"/>
        </w:rPr>
      </w:pPr>
      <w:r>
        <w:rPr>
          <w:sz w:val="24"/>
        </w:rPr>
        <w:t>以</w:t>
      </w:r>
      <w:r>
        <w:rPr>
          <w:rFonts w:hint="eastAsia"/>
          <w:sz w:val="24"/>
        </w:rPr>
        <w:t>过分的</w:t>
      </w:r>
      <w:r>
        <w:rPr>
          <w:sz w:val="24"/>
        </w:rPr>
        <w:t>语言或行动表示异议；</w:t>
      </w:r>
    </w:p>
    <w:p>
      <w:pPr>
        <w:pStyle w:val="style4097"/>
        <w:numPr>
          <w:ilvl w:val="0"/>
          <w:numId w:val="8"/>
        </w:numPr>
        <w:ind w:firstLineChars="0"/>
        <w:rPr>
          <w:sz w:val="24"/>
        </w:rPr>
      </w:pPr>
      <w:r>
        <w:rPr>
          <w:sz w:val="24"/>
        </w:rPr>
        <w:t>延误比赛重新开始；</w:t>
      </w:r>
    </w:p>
    <w:p>
      <w:pPr>
        <w:pStyle w:val="style4097"/>
        <w:numPr>
          <w:ilvl w:val="0"/>
          <w:numId w:val="8"/>
        </w:numPr>
        <w:ind w:firstLineChars="0"/>
        <w:rPr>
          <w:sz w:val="24"/>
        </w:rPr>
      </w:pPr>
      <w:r>
        <w:rPr>
          <w:rFonts w:hint="eastAsia"/>
          <w:sz w:val="24"/>
        </w:rPr>
        <w:t>拉拽球衣进行阻碍反击的行为；</w:t>
      </w:r>
    </w:p>
    <w:p>
      <w:pPr>
        <w:pStyle w:val="style4097"/>
        <w:numPr>
          <w:ilvl w:val="0"/>
          <w:numId w:val="8"/>
        </w:numPr>
        <w:ind w:firstLineChars="0"/>
        <w:rPr>
          <w:sz w:val="24"/>
        </w:rPr>
      </w:pPr>
      <w:r>
        <w:rPr>
          <w:rFonts w:hint="eastAsia"/>
          <w:sz w:val="24"/>
        </w:rPr>
        <w:t>对方高速行进过程中的故意阻挡犯规；</w:t>
      </w:r>
    </w:p>
    <w:p>
      <w:pPr>
        <w:pStyle w:val="style4097"/>
        <w:numPr>
          <w:ilvl w:val="0"/>
          <w:numId w:val="8"/>
        </w:numPr>
        <w:ind w:firstLineChars="0"/>
        <w:rPr>
          <w:sz w:val="24"/>
        </w:rPr>
      </w:pPr>
      <w:r>
        <w:rPr>
          <w:rFonts w:hint="eastAsia"/>
          <w:sz w:val="24"/>
        </w:rPr>
        <w:t>比赛中故意推人的行为；</w:t>
      </w:r>
    </w:p>
    <w:p>
      <w:pPr>
        <w:pStyle w:val="style4097"/>
        <w:numPr>
          <w:ilvl w:val="0"/>
          <w:numId w:val="8"/>
        </w:numPr>
        <w:ind w:firstLineChars="0"/>
        <w:rPr>
          <w:sz w:val="24"/>
        </w:rPr>
      </w:pPr>
      <w:r>
        <w:rPr>
          <w:sz w:val="24"/>
        </w:rPr>
        <w:t>当以角球或任意球重新开始比赛时，不退出规定的距离；</w:t>
      </w:r>
    </w:p>
    <w:p>
      <w:pPr>
        <w:pStyle w:val="style4097"/>
        <w:numPr>
          <w:ilvl w:val="0"/>
          <w:numId w:val="8"/>
        </w:numPr>
        <w:ind w:firstLineChars="0"/>
        <w:rPr>
          <w:sz w:val="24"/>
        </w:rPr>
      </w:pPr>
      <w:r>
        <w:rPr>
          <w:sz w:val="24"/>
        </w:rPr>
        <w:t>未得到裁判员许可进入或重新进入比赛场地；</w:t>
      </w:r>
    </w:p>
    <w:p>
      <w:pPr>
        <w:pStyle w:val="style4097"/>
        <w:numPr>
          <w:ilvl w:val="0"/>
          <w:numId w:val="8"/>
        </w:numPr>
        <w:ind w:firstLineChars="0"/>
        <w:rPr>
          <w:sz w:val="24"/>
        </w:rPr>
      </w:pPr>
      <w:r>
        <w:rPr>
          <w:sz w:val="24"/>
        </w:rPr>
        <w:t>未得到裁判员许可故意离开比赛场地。</w:t>
      </w:r>
    </w:p>
    <w:p>
      <w:pPr>
        <w:pStyle w:val="style0"/>
        <w:ind w:left="425"/>
        <w:rPr>
          <w:sz w:val="24"/>
        </w:rPr>
      </w:pPr>
      <w:r>
        <w:rPr>
          <w:sz w:val="24"/>
        </w:rPr>
        <w:t>如果队员违反下列</w:t>
      </w:r>
      <w:r>
        <w:rPr>
          <w:rFonts w:hint="eastAsia"/>
          <w:sz w:val="24"/>
        </w:rPr>
        <w:t>九</w:t>
      </w:r>
      <w:r>
        <w:rPr>
          <w:sz w:val="24"/>
        </w:rPr>
        <w:t>种犯规中的任何一种，将被罚令出场并出示红牌：</w:t>
      </w:r>
    </w:p>
    <w:p>
      <w:pPr>
        <w:pStyle w:val="style4097"/>
        <w:numPr>
          <w:ilvl w:val="0"/>
          <w:numId w:val="9"/>
        </w:numPr>
        <w:ind w:firstLineChars="0"/>
        <w:rPr>
          <w:sz w:val="24"/>
        </w:rPr>
      </w:pPr>
      <w:r>
        <w:rPr>
          <w:sz w:val="24"/>
        </w:rPr>
        <w:t>严重犯规；</w:t>
      </w:r>
    </w:p>
    <w:p>
      <w:pPr>
        <w:pStyle w:val="style4097"/>
        <w:numPr>
          <w:ilvl w:val="0"/>
          <w:numId w:val="9"/>
        </w:numPr>
        <w:ind w:firstLineChars="0"/>
        <w:rPr>
          <w:sz w:val="24"/>
        </w:rPr>
      </w:pPr>
      <w:r>
        <w:rPr>
          <w:sz w:val="24"/>
        </w:rPr>
        <w:t>暴力行为；</w:t>
      </w:r>
    </w:p>
    <w:p>
      <w:pPr>
        <w:pStyle w:val="style4097"/>
        <w:numPr>
          <w:ilvl w:val="0"/>
          <w:numId w:val="9"/>
        </w:numPr>
        <w:ind w:firstLineChars="0"/>
        <w:rPr>
          <w:sz w:val="24"/>
        </w:rPr>
      </w:pPr>
      <w:r>
        <w:rPr>
          <w:sz w:val="24"/>
        </w:rPr>
        <w:t>向对方或其他任何人吐唾沫；</w:t>
      </w:r>
    </w:p>
    <w:p>
      <w:pPr>
        <w:pStyle w:val="style4097"/>
        <w:numPr>
          <w:ilvl w:val="0"/>
          <w:numId w:val="9"/>
        </w:numPr>
        <w:ind w:firstLineChars="0"/>
        <w:rPr>
          <w:sz w:val="24"/>
        </w:rPr>
      </w:pPr>
      <w:r>
        <w:rPr>
          <w:sz w:val="24"/>
        </w:rPr>
        <w:t>用故意手球破坏对方的进球或明显的进球得分机会</w:t>
      </w:r>
      <w:r>
        <w:rPr>
          <w:sz w:val="24"/>
        </w:rPr>
        <w:t>(</w:t>
      </w:r>
      <w:r>
        <w:rPr>
          <w:sz w:val="24"/>
        </w:rPr>
        <w:t>不包括守门员在本方罚球区内</w:t>
      </w:r>
      <w:r>
        <w:rPr>
          <w:sz w:val="24"/>
        </w:rPr>
        <w:t>)</w:t>
      </w:r>
      <w:r>
        <w:rPr>
          <w:sz w:val="24"/>
        </w:rPr>
        <w:t>；</w:t>
      </w:r>
    </w:p>
    <w:p>
      <w:pPr>
        <w:pStyle w:val="style4097"/>
        <w:numPr>
          <w:ilvl w:val="0"/>
          <w:numId w:val="9"/>
        </w:numPr>
        <w:ind w:firstLineChars="0"/>
        <w:rPr>
          <w:sz w:val="24"/>
        </w:rPr>
      </w:pPr>
      <w:r>
        <w:rPr>
          <w:rFonts w:hint="eastAsia"/>
          <w:sz w:val="24"/>
        </w:rPr>
        <w:t>亮鞋钉且不收脚的铲球动作；</w:t>
      </w:r>
    </w:p>
    <w:p>
      <w:pPr>
        <w:pStyle w:val="style4097"/>
        <w:numPr>
          <w:ilvl w:val="0"/>
          <w:numId w:val="9"/>
        </w:numPr>
        <w:ind w:firstLineChars="0"/>
        <w:rPr>
          <w:sz w:val="24"/>
        </w:rPr>
      </w:pPr>
      <w:r>
        <w:rPr>
          <w:rFonts w:hint="eastAsia"/>
          <w:sz w:val="24"/>
        </w:rPr>
        <w:t>侧后方的铲球动作；</w:t>
      </w:r>
    </w:p>
    <w:p>
      <w:pPr>
        <w:pStyle w:val="style4097"/>
        <w:numPr>
          <w:ilvl w:val="0"/>
          <w:numId w:val="9"/>
        </w:numPr>
        <w:ind w:firstLineChars="0"/>
        <w:rPr>
          <w:sz w:val="24"/>
        </w:rPr>
      </w:pPr>
      <w:r>
        <w:rPr>
          <w:rFonts w:hint="eastAsia"/>
          <w:sz w:val="24"/>
        </w:rPr>
        <w:t>故意用手阻碍皮球向球门移动的行为</w:t>
      </w:r>
      <w:r>
        <w:rPr>
          <w:sz w:val="24"/>
        </w:rPr>
        <w:t>；</w:t>
      </w:r>
    </w:p>
    <w:p>
      <w:pPr>
        <w:pStyle w:val="style4097"/>
        <w:numPr>
          <w:ilvl w:val="0"/>
          <w:numId w:val="9"/>
        </w:numPr>
        <w:ind w:firstLineChars="0"/>
        <w:rPr>
          <w:sz w:val="24"/>
        </w:rPr>
      </w:pPr>
      <w:r>
        <w:rPr>
          <w:sz w:val="24"/>
        </w:rPr>
        <w:t>使用无礼的、侮辱的或辱骂性的语言及动作；</w:t>
      </w:r>
    </w:p>
    <w:p>
      <w:pPr>
        <w:pStyle w:val="style4097"/>
        <w:numPr>
          <w:ilvl w:val="0"/>
          <w:numId w:val="9"/>
        </w:numPr>
        <w:ind w:firstLineChars="0"/>
        <w:rPr>
          <w:sz w:val="24"/>
        </w:rPr>
      </w:pPr>
      <w:r>
        <w:rPr>
          <w:sz w:val="24"/>
        </w:rPr>
        <w:t>在同一场比赛中得到第二次黄牌警告。</w:t>
      </w:r>
    </w:p>
    <w:p>
      <w:pPr>
        <w:pStyle w:val="style0"/>
        <w:ind w:left="425"/>
        <w:rPr>
          <w:sz w:val="24"/>
        </w:rPr>
      </w:pPr>
      <w:r>
        <w:rPr>
          <w:sz w:val="24"/>
        </w:rPr>
        <w:t>被罚令出场的队员必须立即离开比赛场地附近和技术区域内。</w:t>
      </w:r>
    </w:p>
    <w:p>
      <w:pPr>
        <w:pStyle w:val="style0"/>
        <w:numPr>
          <w:ilvl w:val="0"/>
          <w:numId w:val="7"/>
        </w:numPr>
        <w:rPr>
          <w:sz w:val="24"/>
        </w:rPr>
      </w:pPr>
      <w:r>
        <w:rPr>
          <w:rFonts w:hint="eastAsia"/>
          <w:sz w:val="24"/>
        </w:rPr>
        <w:t>若比赛过程中出现球员暴力行为、辱骂裁判等行为，足协将会对相关人员酌情进行禁赛处罚，情节严重者终身不得参加由足协举办的各项足球赛事。</w:t>
      </w:r>
    </w:p>
    <w:p>
      <w:pPr>
        <w:pStyle w:val="style0"/>
        <w:numPr>
          <w:ilvl w:val="0"/>
          <w:numId w:val="7"/>
        </w:numPr>
        <w:rPr>
          <w:sz w:val="24"/>
        </w:rPr>
      </w:pPr>
      <w:r>
        <w:rPr>
          <w:rFonts w:hint="eastAsia"/>
          <w:sz w:val="24"/>
        </w:rPr>
        <w:t>比赛弃权及处罚：</w:t>
      </w:r>
    </w:p>
    <w:p>
      <w:pPr>
        <w:pStyle w:val="style0"/>
        <w:ind w:left="425"/>
        <w:rPr>
          <w:sz w:val="24"/>
        </w:rPr>
      </w:pPr>
      <w:r>
        <w:rPr>
          <w:sz w:val="24"/>
        </w:rPr>
        <w:t>下列情况之一的运动队均属比赛弃权：</w:t>
      </w:r>
    </w:p>
    <w:p>
      <w:pPr>
        <w:pStyle w:val="style4097"/>
        <w:numPr>
          <w:ilvl w:val="0"/>
          <w:numId w:val="10"/>
        </w:numPr>
        <w:ind w:firstLineChars="0"/>
        <w:rPr>
          <w:sz w:val="24"/>
        </w:rPr>
      </w:pPr>
      <w:r>
        <w:rPr>
          <w:sz w:val="24"/>
        </w:rPr>
        <w:t>并非不可抗拒的原因，且未获足协批准，未按时</w:t>
      </w:r>
      <w:r>
        <w:rPr>
          <w:sz w:val="24"/>
        </w:rPr>
        <w:t>(</w:t>
      </w:r>
      <w:r>
        <w:rPr>
          <w:sz w:val="24"/>
        </w:rPr>
        <w:t>比赛开始后超过</w:t>
      </w:r>
      <w:r>
        <w:rPr>
          <w:sz w:val="24"/>
        </w:rPr>
        <w:t>15</w:t>
      </w:r>
      <w:r>
        <w:rPr>
          <w:sz w:val="24"/>
        </w:rPr>
        <w:t>分钟</w:t>
      </w:r>
      <w:r>
        <w:rPr>
          <w:sz w:val="24"/>
        </w:rPr>
        <w:t>)</w:t>
      </w:r>
      <w:r>
        <w:rPr>
          <w:sz w:val="24"/>
        </w:rPr>
        <w:t>参加或参加完规定赛程的比赛</w:t>
      </w:r>
    </w:p>
    <w:p>
      <w:pPr>
        <w:pStyle w:val="style4097"/>
        <w:numPr>
          <w:ilvl w:val="0"/>
          <w:numId w:val="10"/>
        </w:numPr>
        <w:ind w:firstLineChars="0"/>
        <w:rPr>
          <w:sz w:val="24"/>
        </w:rPr>
      </w:pPr>
      <w:r>
        <w:rPr>
          <w:sz w:val="24"/>
        </w:rPr>
        <w:t>拒绝按照裁判员的要求立即恢复中断的比赛</w:t>
      </w:r>
    </w:p>
    <w:p>
      <w:pPr>
        <w:pStyle w:val="style4097"/>
        <w:numPr>
          <w:ilvl w:val="0"/>
          <w:numId w:val="10"/>
        </w:numPr>
        <w:ind w:firstLineChars="0"/>
        <w:rPr>
          <w:sz w:val="24"/>
        </w:rPr>
      </w:pPr>
      <w:r>
        <w:rPr>
          <w:sz w:val="24"/>
        </w:rPr>
        <w:t>有正处于停赛期间，尚未被允许参赛的运动员代表该队参加比赛</w:t>
      </w:r>
    </w:p>
    <w:p>
      <w:pPr>
        <w:pStyle w:val="style4097"/>
        <w:numPr>
          <w:ilvl w:val="0"/>
          <w:numId w:val="10"/>
        </w:numPr>
        <w:ind w:firstLineChars="0"/>
        <w:rPr>
          <w:sz w:val="24"/>
        </w:rPr>
      </w:pPr>
      <w:r>
        <w:rPr>
          <w:sz w:val="24"/>
        </w:rPr>
        <w:t>拒绝足协的安排参加补赛或改期的比赛</w:t>
      </w:r>
    </w:p>
    <w:p>
      <w:pPr>
        <w:pStyle w:val="style4097"/>
        <w:numPr>
          <w:ilvl w:val="0"/>
          <w:numId w:val="10"/>
        </w:numPr>
        <w:ind w:firstLineChars="0"/>
        <w:rPr>
          <w:sz w:val="24"/>
        </w:rPr>
      </w:pPr>
      <w:r>
        <w:rPr>
          <w:sz w:val="24"/>
        </w:rPr>
        <w:t>运动员在比赛中场上队员不足</w:t>
      </w:r>
      <w:r>
        <w:rPr>
          <w:rFonts w:hint="eastAsia"/>
          <w:sz w:val="24"/>
        </w:rPr>
        <w:t>5</w:t>
      </w:r>
      <w:r>
        <w:rPr>
          <w:sz w:val="24"/>
        </w:rPr>
        <w:t>人时，比赛终止，判对方</w:t>
      </w:r>
      <w:r>
        <w:rPr>
          <w:sz w:val="24"/>
        </w:rPr>
        <w:t>3</w:t>
      </w:r>
      <w:r>
        <w:rPr>
          <w:sz w:val="24"/>
        </w:rPr>
        <w:t>比</w:t>
      </w:r>
      <w:r>
        <w:rPr>
          <w:sz w:val="24"/>
        </w:rPr>
        <w:t>0</w:t>
      </w:r>
      <w:r>
        <w:rPr>
          <w:sz w:val="24"/>
        </w:rPr>
        <w:t>获胜。如果比赛的实际比分净胜球大于或等于</w:t>
      </w:r>
      <w:r>
        <w:rPr>
          <w:sz w:val="24"/>
        </w:rPr>
        <w:t>3</w:t>
      </w:r>
      <w:r>
        <w:rPr>
          <w:sz w:val="24"/>
        </w:rPr>
        <w:t>球，则以当时的实际比赛记过为准</w:t>
      </w:r>
    </w:p>
    <w:p>
      <w:pPr>
        <w:pStyle w:val="style4097"/>
        <w:ind w:left="420" w:firstLine="0" w:firstLineChars="0"/>
        <w:rPr>
          <w:sz w:val="24"/>
        </w:rPr>
      </w:pPr>
    </w:p>
    <w:p>
      <w:pPr>
        <w:pStyle w:val="style4097"/>
        <w:ind w:left="420" w:firstLine="0" w:firstLineChars="0"/>
        <w:rPr>
          <w:color w:val="ff0000"/>
          <w:sz w:val="24"/>
        </w:rPr>
      </w:pPr>
      <w:r>
        <w:rPr>
          <w:rFonts w:hint="eastAsia"/>
          <w:color w:val="ff0000"/>
          <w:sz w:val="24"/>
        </w:rPr>
        <w:t>处罚方式：弃赛的队伍将被判</w:t>
      </w:r>
      <w:r>
        <w:rPr>
          <w:rFonts w:hint="eastAsia"/>
          <w:color w:val="ff0000"/>
          <w:sz w:val="24"/>
        </w:rPr>
        <w:t>0</w:t>
      </w:r>
      <w:r>
        <w:rPr>
          <w:rFonts w:hint="eastAsia"/>
          <w:color w:val="ff0000"/>
          <w:sz w:val="24"/>
        </w:rPr>
        <w:t>：</w:t>
      </w:r>
      <w:r>
        <w:rPr>
          <w:rFonts w:hint="eastAsia"/>
          <w:color w:val="ff0000"/>
          <w:sz w:val="24"/>
        </w:rPr>
        <w:t>3</w:t>
      </w:r>
      <w:r>
        <w:rPr>
          <w:rFonts w:hint="eastAsia"/>
          <w:color w:val="ff0000"/>
          <w:sz w:val="24"/>
        </w:rPr>
        <w:t>输掉比赛，若无原因并尚未通知足协而弃赛的行为将视为自动弃权所有比赛，并没收所有保证金；</w:t>
      </w:r>
    </w:p>
    <w:p>
      <w:pPr>
        <w:pStyle w:val="style0"/>
        <w:numPr>
          <w:ilvl w:val="0"/>
          <w:numId w:val="7"/>
        </w:numPr>
        <w:rPr>
          <w:sz w:val="24"/>
        </w:rPr>
      </w:pPr>
      <w:r>
        <w:rPr>
          <w:sz w:val="24"/>
        </w:rPr>
        <w:t>如遇全校或者全院性的活动，队伍无法凑足最低上场人数的，需于原定赛程前三天提交调赛申请表等待审核</w:t>
      </w:r>
    </w:p>
    <w:p>
      <w:pPr>
        <w:pStyle w:val="style0"/>
        <w:numPr>
          <w:ilvl w:val="0"/>
          <w:numId w:val="7"/>
        </w:numPr>
        <w:rPr>
          <w:sz w:val="24"/>
        </w:rPr>
      </w:pPr>
      <w:r>
        <w:rPr>
          <w:rFonts w:hint="eastAsia"/>
          <w:sz w:val="24"/>
        </w:rPr>
        <w:t>浙江工商大学</w:t>
      </w:r>
      <w:r>
        <w:rPr>
          <w:rFonts w:hint="eastAsia"/>
          <w:sz w:val="24"/>
        </w:rPr>
        <w:t>Striker</w:t>
      </w:r>
      <w:r>
        <w:rPr>
          <w:rFonts w:hint="eastAsia"/>
          <w:sz w:val="24"/>
        </w:rPr>
        <w:t>足球协会拥有本届</w:t>
      </w:r>
      <w:r>
        <w:rPr>
          <w:rFonts w:hint="eastAsia"/>
          <w:sz w:val="24"/>
        </w:rPr>
        <w:t>新生</w:t>
      </w:r>
      <w:r>
        <w:rPr>
          <w:rFonts w:hint="eastAsia"/>
          <w:sz w:val="24"/>
        </w:rPr>
        <w:t>杯最终解释权</w:t>
      </w:r>
    </w:p>
    <w:p>
      <w:pPr>
        <w:pStyle w:val="style0"/>
        <w:tabs>
          <w:tab w:val="left" w:leader="none" w:pos="425"/>
        </w:tabs>
        <w:ind w:left="425"/>
        <w:rPr>
          <w:sz w:val="24"/>
        </w:rPr>
      </w:pPr>
    </w:p>
    <w:p>
      <w:pPr>
        <w:pStyle w:val="style0"/>
        <w:tabs>
          <w:tab w:val="left" w:leader="none" w:pos="425"/>
        </w:tabs>
        <w:ind w:left="425"/>
        <w:jc w:val="left"/>
        <w:rPr>
          <w:b/>
          <w:color w:val="ff0000"/>
          <w:sz w:val="24"/>
        </w:rPr>
      </w:pPr>
      <w:r>
        <w:rPr>
          <w:rFonts w:hint="eastAsia"/>
          <w:b/>
          <w:color w:val="ff0000"/>
          <w:sz w:val="24"/>
        </w:rPr>
        <w:t>*</w:t>
      </w:r>
      <w:r>
        <w:rPr>
          <w:rFonts w:hint="eastAsia"/>
          <w:b/>
          <w:color w:val="ff0000"/>
          <w:sz w:val="24"/>
        </w:rPr>
        <w:t>点球的判罚规则及点球规范</w:t>
      </w:r>
    </w:p>
    <w:p>
      <w:pPr>
        <w:pStyle w:val="style0"/>
        <w:tabs>
          <w:tab w:val="left" w:leader="none" w:pos="425"/>
        </w:tabs>
        <w:ind w:left="425"/>
        <w:jc w:val="left"/>
        <w:rPr>
          <w:b/>
          <w:color w:val="ff0000"/>
          <w:sz w:val="24"/>
        </w:rPr>
      </w:pPr>
      <w:r>
        <w:rPr>
          <w:rFonts w:hint="eastAsia"/>
          <w:b/>
          <w:color w:val="ff0000"/>
          <w:sz w:val="24"/>
        </w:rPr>
        <w:t>判罚原则：</w:t>
      </w:r>
    </w:p>
    <w:p>
      <w:pPr>
        <w:pStyle w:val="style0"/>
        <w:tabs>
          <w:tab w:val="left" w:leader="none" w:pos="425"/>
        </w:tabs>
        <w:ind w:left="425"/>
        <w:jc w:val="left"/>
        <w:rPr>
          <w:sz w:val="24"/>
        </w:rPr>
      </w:pPr>
      <w:r>
        <w:rPr>
          <w:rFonts w:hint="eastAsia"/>
          <w:sz w:val="24"/>
        </w:rPr>
        <w:t>1.</w:t>
      </w:r>
      <w:r>
        <w:rPr>
          <w:rFonts w:hint="eastAsia"/>
          <w:sz w:val="24"/>
        </w:rPr>
        <w:t>防守球员在禁区内推搡，拉拽进攻方球员；</w:t>
      </w:r>
    </w:p>
    <w:p>
      <w:pPr>
        <w:pStyle w:val="style0"/>
        <w:tabs>
          <w:tab w:val="left" w:leader="none" w:pos="425"/>
        </w:tabs>
        <w:ind w:left="425"/>
        <w:jc w:val="left"/>
        <w:rPr>
          <w:sz w:val="24"/>
        </w:rPr>
      </w:pPr>
      <w:r>
        <w:rPr>
          <w:rFonts w:hint="eastAsia"/>
          <w:sz w:val="24"/>
        </w:rPr>
        <w:t>2.</w:t>
      </w:r>
      <w:r>
        <w:rPr>
          <w:rFonts w:hint="eastAsia"/>
          <w:sz w:val="24"/>
        </w:rPr>
        <w:t>防守球员在禁区内有意放倒进攻球员的行为；</w:t>
      </w:r>
    </w:p>
    <w:p>
      <w:pPr>
        <w:pStyle w:val="style0"/>
        <w:tabs>
          <w:tab w:val="left" w:leader="none" w:pos="425"/>
        </w:tabs>
        <w:ind w:left="425"/>
        <w:jc w:val="left"/>
        <w:rPr>
          <w:sz w:val="24"/>
        </w:rPr>
      </w:pPr>
      <w:r>
        <w:rPr>
          <w:rFonts w:hint="eastAsia"/>
          <w:sz w:val="24"/>
        </w:rPr>
        <w:t>3.</w:t>
      </w:r>
      <w:r>
        <w:rPr>
          <w:rFonts w:hint="eastAsia"/>
          <w:sz w:val="24"/>
        </w:rPr>
        <w:t>防守球员在禁区内因扩大防守面积而造成的手球行为（不论是否有意）；</w:t>
      </w:r>
    </w:p>
    <w:p>
      <w:pPr>
        <w:pStyle w:val="style0"/>
        <w:tabs>
          <w:tab w:val="left" w:leader="none" w:pos="425"/>
        </w:tabs>
        <w:ind w:left="425"/>
        <w:jc w:val="left"/>
        <w:rPr>
          <w:b/>
          <w:color w:val="ff0000"/>
          <w:sz w:val="24"/>
        </w:rPr>
      </w:pPr>
      <w:r>
        <w:rPr>
          <w:rFonts w:hint="eastAsia"/>
          <w:b/>
          <w:color w:val="ff0000"/>
          <w:sz w:val="24"/>
        </w:rPr>
        <w:t>点球规范：</w:t>
      </w:r>
    </w:p>
    <w:p>
      <w:pPr>
        <w:pStyle w:val="style0"/>
        <w:tabs>
          <w:tab w:val="left" w:leader="none" w:pos="425"/>
        </w:tabs>
        <w:ind w:left="425"/>
        <w:jc w:val="left"/>
        <w:rPr>
          <w:sz w:val="24"/>
        </w:rPr>
      </w:pPr>
      <w:r>
        <w:rPr>
          <w:rFonts w:hint="eastAsia"/>
          <w:sz w:val="24"/>
        </w:rPr>
        <w:t>1.</w:t>
      </w:r>
      <w:r>
        <w:rPr>
          <w:rFonts w:hint="eastAsia"/>
          <w:sz w:val="24"/>
        </w:rPr>
        <w:t>在主裁哨响后才能射点球（任意球）；</w:t>
      </w:r>
    </w:p>
    <w:p>
      <w:pPr>
        <w:pStyle w:val="style0"/>
        <w:tabs>
          <w:tab w:val="left" w:leader="none" w:pos="425"/>
        </w:tabs>
        <w:ind w:left="425"/>
        <w:jc w:val="left"/>
        <w:rPr>
          <w:sz w:val="24"/>
        </w:rPr>
      </w:pPr>
      <w:r>
        <w:rPr>
          <w:rFonts w:hint="eastAsia"/>
          <w:sz w:val="24"/>
        </w:rPr>
        <w:t>2.</w:t>
      </w:r>
      <w:r>
        <w:rPr>
          <w:rFonts w:hint="eastAsia"/>
          <w:sz w:val="24"/>
        </w:rPr>
        <w:t>任何无关球员不得提前进入禁区内。若射点球方球员提前进入禁区，即使射进点球也要求重罚；若被射点球方球员提前进入禁区，即使没罚进，也要求重罚，若罚进，则依然有效；</w:t>
      </w:r>
    </w:p>
    <w:p>
      <w:pPr>
        <w:pStyle w:val="style0"/>
        <w:tabs>
          <w:tab w:val="left" w:leader="none" w:pos="425"/>
        </w:tabs>
        <w:ind w:left="425"/>
        <w:jc w:val="left"/>
        <w:rPr>
          <w:sz w:val="24"/>
        </w:rPr>
      </w:pPr>
      <w:r>
        <w:rPr>
          <w:rFonts w:hint="eastAsia"/>
          <w:sz w:val="24"/>
        </w:rPr>
        <w:t>3.</w:t>
      </w:r>
      <w:r>
        <w:rPr>
          <w:rFonts w:hint="eastAsia"/>
          <w:sz w:val="24"/>
        </w:rPr>
        <w:t>射点球球员在助跑过程中不得中途停止前进或虚晃射门，否则取消点球资格；</w:t>
      </w:r>
    </w:p>
    <w:p>
      <w:pPr>
        <w:pStyle w:val="style0"/>
        <w:tabs>
          <w:tab w:val="left" w:leader="none" w:pos="425"/>
        </w:tabs>
        <w:ind w:left="425"/>
        <w:jc w:val="left"/>
        <w:rPr>
          <w:b/>
          <w:sz w:val="28"/>
          <w:szCs w:val="28"/>
        </w:rPr>
      </w:pPr>
    </w:p>
    <w:p>
      <w:pPr>
        <w:pStyle w:val="style0"/>
        <w:numPr>
          <w:ilvl w:val="0"/>
          <w:numId w:val="1"/>
        </w:numPr>
        <w:tabs>
          <w:tab w:val="left" w:leader="none" w:pos="360"/>
        </w:tabs>
        <w:ind w:left="360"/>
        <w:rPr>
          <w:b/>
          <w:bCs/>
          <w:color w:val="000000"/>
          <w:sz w:val="24"/>
        </w:rPr>
      </w:pPr>
      <w:r>
        <w:rPr>
          <w:rFonts w:hint="eastAsia"/>
          <w:b/>
          <w:bCs/>
          <w:color w:val="000000"/>
          <w:sz w:val="24"/>
        </w:rPr>
        <w:t>保证金制度</w:t>
      </w:r>
    </w:p>
    <w:p>
      <w:pPr>
        <w:pStyle w:val="style0"/>
        <w:ind w:firstLine="480" w:firstLineChars="200"/>
        <w:rPr>
          <w:bCs/>
          <w:sz w:val="24"/>
        </w:rPr>
      </w:pPr>
      <w:r>
        <w:rPr>
          <w:rFonts w:hint="eastAsia"/>
          <w:bCs/>
          <w:sz w:val="24"/>
        </w:rPr>
        <w:t>为保证“</w:t>
      </w:r>
      <w:r>
        <w:rPr>
          <w:rFonts w:hint="eastAsia"/>
          <w:bCs/>
          <w:sz w:val="24"/>
        </w:rPr>
        <w:t>新生</w:t>
      </w:r>
      <w:r>
        <w:rPr>
          <w:rFonts w:hint="eastAsia"/>
          <w:bCs/>
          <w:sz w:val="24"/>
        </w:rPr>
        <w:t>杯”足球比赛安全顺利的进行，每支球队报名时将收取</w:t>
      </w:r>
      <w:r>
        <w:rPr>
          <w:rFonts w:hint="eastAsia"/>
          <w:bCs/>
          <w:sz w:val="24"/>
        </w:rPr>
        <w:t>300</w:t>
      </w:r>
      <w:r>
        <w:rPr>
          <w:rFonts w:hint="eastAsia"/>
          <w:bCs/>
          <w:sz w:val="24"/>
        </w:rPr>
        <w:t>元的保证金，若出现违反体育道德、辱骂殴打球员或裁判或场边观众、恶意犯规等违规行为或不遵守足协制定的规范时，足协将会根据具体情况扣取部分或全部扣取上缴的保证金。若未出现上述违规行为时足协在</w:t>
      </w:r>
      <w:r>
        <w:rPr>
          <w:rFonts w:hint="eastAsia"/>
          <w:bCs/>
          <w:color w:val="ff0000"/>
          <w:sz w:val="24"/>
        </w:rPr>
        <w:t>比赛全部结束后</w:t>
      </w:r>
      <w:r>
        <w:rPr>
          <w:rFonts w:hint="eastAsia"/>
          <w:bCs/>
          <w:sz w:val="24"/>
        </w:rPr>
        <w:t>将保证金全部退还。</w:t>
      </w:r>
    </w:p>
    <w:p>
      <w:pPr>
        <w:pStyle w:val="style0"/>
        <w:rPr>
          <w:sz w:val="24"/>
        </w:rPr>
      </w:pPr>
    </w:p>
    <w:p>
      <w:pPr>
        <w:pStyle w:val="style0"/>
        <w:ind w:firstLine="480" w:firstLineChars="200"/>
        <w:rPr>
          <w:sz w:val="24"/>
        </w:rPr>
      </w:pPr>
      <w:r>
        <w:rPr>
          <w:rFonts w:hint="eastAsia"/>
          <w:bCs/>
          <w:sz w:val="24"/>
        </w:rPr>
        <w:t>本</w:t>
      </w:r>
      <w:r>
        <w:rPr>
          <w:rFonts w:hint="eastAsia"/>
          <w:sz w:val="24"/>
        </w:rPr>
        <w:t>规程解释权属主办单位，未尽事宜，另行通知。</w:t>
      </w:r>
    </w:p>
    <w:p>
      <w:pPr>
        <w:pStyle w:val="style0"/>
        <w:ind w:firstLine="240" w:firstLineChars="100"/>
        <w:rPr>
          <w:sz w:val="24"/>
        </w:rPr>
      </w:pPr>
    </w:p>
    <w:p>
      <w:pPr>
        <w:pStyle w:val="style0"/>
        <w:ind w:firstLine="240" w:firstLineChars="100"/>
        <w:rPr>
          <w:sz w:val="24"/>
        </w:rPr>
      </w:pPr>
    </w:p>
    <w:p>
      <w:pPr>
        <w:pStyle w:val="style0"/>
        <w:ind w:firstLine="240" w:firstLineChars="100"/>
        <w:rPr>
          <w:sz w:val="24"/>
        </w:rPr>
      </w:pPr>
    </w:p>
    <w:p>
      <w:pPr>
        <w:pStyle w:val="style0"/>
        <w:ind w:firstLine="240" w:firstLineChars="100"/>
        <w:rPr>
          <w:sz w:val="24"/>
        </w:rPr>
      </w:pPr>
    </w:p>
    <w:p>
      <w:pPr>
        <w:pStyle w:val="style0"/>
        <w:tabs>
          <w:tab w:val="right" w:leader="dot" w:pos="8290"/>
        </w:tabs>
        <w:spacing w:lineRule="auto" w:line="360"/>
        <w:rPr>
          <w:rFonts w:ascii="黑体" w:cs="黑体" w:eastAsia="黑体" w:hAnsi="黑体"/>
          <w:bCs/>
          <w:color w:val="ff0000"/>
          <w:sz w:val="44"/>
          <w:szCs w:val="44"/>
        </w:rPr>
      </w:pPr>
      <w:r>
        <w:rPr>
          <w:rFonts w:ascii="黑体" w:cs="黑体" w:eastAsia="黑体" w:hAnsi="黑体" w:hint="eastAsia"/>
          <w:bCs/>
          <w:color w:val="ff0000"/>
          <w:sz w:val="44"/>
          <w:szCs w:val="44"/>
        </w:rPr>
        <w:t>特别注意:</w:t>
      </w:r>
    </w:p>
    <w:p>
      <w:pPr>
        <w:pStyle w:val="style0"/>
        <w:tabs>
          <w:tab w:val="right" w:leader="dot" w:pos="8290"/>
        </w:tabs>
        <w:spacing w:lineRule="auto" w:line="360"/>
        <w:rPr>
          <w:rFonts w:ascii="黑体" w:cs="黑体" w:eastAsia="黑体" w:hAnsi="黑体"/>
          <w:bCs/>
          <w:color w:val="ff0000"/>
          <w:sz w:val="44"/>
          <w:szCs w:val="44"/>
        </w:rPr>
      </w:pPr>
    </w:p>
    <w:p>
      <w:pPr>
        <w:pStyle w:val="style179"/>
        <w:widowControl/>
        <w:numPr>
          <w:ilvl w:val="0"/>
          <w:numId w:val="2"/>
        </w:numPr>
        <w:adjustRightInd w:val="false"/>
        <w:snapToGrid w:val="false"/>
        <w:spacing w:lineRule="auto" w:line="360"/>
        <w:ind w:left="420" w:firstLine="560"/>
        <w:jc w:val="left"/>
        <w:rPr>
          <w:rFonts w:ascii="黑体" w:cs="黑体" w:eastAsia="黑体" w:hAnsi="黑体"/>
          <w:kern w:val="0"/>
          <w:sz w:val="28"/>
          <w:szCs w:val="28"/>
        </w:rPr>
      </w:pPr>
      <w:r>
        <w:rPr>
          <w:rFonts w:ascii="黑体" w:cs="黑体" w:eastAsia="黑体" w:hAnsi="黑体" w:hint="eastAsia"/>
          <w:color w:val="000000"/>
          <w:kern w:val="0"/>
          <w:sz w:val="28"/>
          <w:szCs w:val="28"/>
        </w:rPr>
        <w:t>上场队员必须佩戴护腿</w:t>
      </w:r>
      <w:r>
        <w:rPr>
          <w:rFonts w:ascii="黑体" w:cs="黑体" w:eastAsia="黑体" w:hAnsi="黑体" w:hint="eastAsia"/>
          <w:kern w:val="0"/>
          <w:sz w:val="28"/>
          <w:szCs w:val="28"/>
        </w:rPr>
        <w:t>板（护腿板必须由球袜全部包住），佩戴运动眼镜或隐形眼镜，严禁</w:t>
      </w:r>
      <w:r>
        <w:rPr>
          <w:rFonts w:ascii="黑体" w:cs="黑体" w:eastAsia="黑体" w:hAnsi="黑体" w:hint="eastAsia"/>
          <w:color w:val="ff0000"/>
          <w:kern w:val="0"/>
          <w:sz w:val="28"/>
          <w:szCs w:val="28"/>
        </w:rPr>
        <w:t>佩戴框架眼镜</w:t>
      </w:r>
      <w:r>
        <w:rPr>
          <w:rFonts w:ascii="黑体" w:cs="黑体" w:eastAsia="黑体" w:hAnsi="黑体" w:hint="eastAsia"/>
          <w:kern w:val="0"/>
          <w:sz w:val="28"/>
          <w:szCs w:val="28"/>
        </w:rPr>
        <w:t>比赛，如有发现违例，该球员不能上场比赛，并将给予一定纪律处分。</w:t>
      </w:r>
    </w:p>
    <w:p>
      <w:pPr>
        <w:pStyle w:val="style0"/>
        <w:widowControl/>
        <w:numPr>
          <w:ilvl w:val="0"/>
          <w:numId w:val="2"/>
        </w:numPr>
        <w:adjustRightInd w:val="false"/>
        <w:snapToGrid w:val="false"/>
        <w:spacing w:lineRule="auto" w:line="360"/>
        <w:ind w:left="420" w:firstLine="560" w:firstLineChars="200"/>
        <w:jc w:val="left"/>
        <w:rPr>
          <w:rFonts w:ascii="黑体" w:cs="黑体" w:eastAsia="黑体" w:hAnsi="黑体"/>
          <w:kern w:val="0"/>
          <w:sz w:val="28"/>
          <w:szCs w:val="28"/>
        </w:rPr>
      </w:pPr>
      <w:r>
        <w:rPr>
          <w:rFonts w:ascii="黑体" w:cs="黑体" w:eastAsia="黑体" w:hAnsi="黑体" w:hint="eastAsia"/>
          <w:kern w:val="0"/>
          <w:sz w:val="28"/>
          <w:szCs w:val="28"/>
        </w:rPr>
        <w:t>各队伍应严格按照主办方发布的赛程进行比赛，若有特殊情况（</w:t>
      </w:r>
      <w:r>
        <w:rPr>
          <w:rFonts w:ascii="黑体" w:cs="黑体" w:eastAsia="黑体" w:hAnsi="黑体" w:hint="eastAsia"/>
          <w:color w:val="ff0000"/>
          <w:kern w:val="0"/>
          <w:sz w:val="28"/>
          <w:szCs w:val="28"/>
        </w:rPr>
        <w:t>只包括学院或学校级别的集体活动</w:t>
      </w:r>
      <w:r>
        <w:rPr>
          <w:rFonts w:ascii="黑体" w:cs="黑体" w:eastAsia="黑体" w:hAnsi="黑体" w:hint="eastAsia"/>
          <w:kern w:val="0"/>
          <w:sz w:val="28"/>
          <w:szCs w:val="28"/>
        </w:rPr>
        <w:t>）需要更改比赛时间，则须</w:t>
      </w:r>
      <w:r>
        <w:rPr>
          <w:rFonts w:ascii="黑体" w:cs="黑体" w:eastAsia="黑体" w:hAnsi="黑体" w:hint="eastAsia"/>
          <w:color w:val="ff0000"/>
          <w:kern w:val="0"/>
          <w:sz w:val="28"/>
          <w:szCs w:val="28"/>
        </w:rPr>
        <w:t>提前三天</w:t>
      </w:r>
      <w:r>
        <w:rPr>
          <w:rFonts w:ascii="黑体" w:cs="黑体" w:eastAsia="黑体" w:hAnsi="黑体" w:hint="eastAsia"/>
          <w:kern w:val="0"/>
          <w:sz w:val="28"/>
          <w:szCs w:val="28"/>
        </w:rPr>
        <w:t>填写调赛申请表向主办方提出申请，经批准后方能更改。</w:t>
      </w:r>
    </w:p>
    <w:p>
      <w:pPr>
        <w:pStyle w:val="style0"/>
        <w:widowControl/>
        <w:numPr>
          <w:ilvl w:val="0"/>
          <w:numId w:val="2"/>
        </w:numPr>
        <w:adjustRightInd w:val="false"/>
        <w:snapToGrid w:val="false"/>
        <w:spacing w:lineRule="auto" w:line="360"/>
        <w:ind w:left="420" w:firstLine="562" w:firstLineChars="200"/>
        <w:jc w:val="left"/>
        <w:rPr>
          <w:rFonts w:ascii="黑体" w:cs="黑体" w:eastAsia="黑体" w:hAnsi="黑体"/>
          <w:kern w:val="0"/>
          <w:sz w:val="28"/>
          <w:szCs w:val="28"/>
        </w:rPr>
      </w:pPr>
      <w:r>
        <w:rPr>
          <w:rFonts w:ascii="黑体" w:cs="黑体" w:eastAsia="黑体" w:hAnsi="黑体" w:hint="eastAsia"/>
          <w:b/>
          <w:bCs/>
          <w:sz w:val="28"/>
          <w:szCs w:val="28"/>
        </w:rPr>
        <w:t>球队需自备统一颜色、样式的比赛服装，守门员服装颜色</w:t>
      </w:r>
      <w:r>
        <w:rPr>
          <w:rFonts w:ascii="黑体" w:cs="黑体" w:eastAsia="黑体" w:hAnsi="黑体" w:hint="eastAsia"/>
          <w:bCs/>
          <w:sz w:val="28"/>
          <w:szCs w:val="28"/>
        </w:rPr>
        <w:t>应与上场队员有明显区别。所报的所有队员号码必须清晰。无号，</w:t>
      </w:r>
      <w:r>
        <w:rPr>
          <w:rFonts w:ascii="黑体" w:cs="黑体" w:eastAsia="黑体" w:hAnsi="黑体" w:hint="eastAsia"/>
          <w:b/>
          <w:bCs/>
          <w:sz w:val="28"/>
          <w:szCs w:val="28"/>
        </w:rPr>
        <w:t>重号，号码与报名单不符，不得上场比赛。若更改号码上场比赛，</w:t>
      </w:r>
      <w:r>
        <w:rPr>
          <w:rFonts w:ascii="黑体" w:cs="黑体" w:eastAsia="黑体" w:hAnsi="黑体" w:hint="eastAsia"/>
          <w:b/>
          <w:bCs/>
          <w:color w:val="ff0000"/>
          <w:sz w:val="28"/>
          <w:szCs w:val="28"/>
        </w:rPr>
        <w:t>按弄虚作假论处（出示黄牌警告并扣除保证金50元）</w:t>
      </w:r>
      <w:r>
        <w:rPr>
          <w:rFonts w:ascii="黑体" w:cs="黑体" w:eastAsia="黑体" w:hAnsi="黑体" w:hint="eastAsia"/>
          <w:b/>
          <w:bCs/>
          <w:sz w:val="28"/>
          <w:szCs w:val="28"/>
        </w:rPr>
        <w:t>。</w:t>
      </w:r>
    </w:p>
    <w:p>
      <w:pPr>
        <w:pStyle w:val="style0"/>
        <w:widowControl/>
        <w:numPr>
          <w:ilvl w:val="0"/>
          <w:numId w:val="2"/>
        </w:numPr>
        <w:adjustRightInd w:val="false"/>
        <w:snapToGrid w:val="false"/>
        <w:spacing w:lineRule="auto" w:line="360"/>
        <w:ind w:left="420" w:firstLine="560" w:firstLineChars="200"/>
        <w:jc w:val="left"/>
        <w:rPr>
          <w:rFonts w:ascii="黑体" w:cs="黑体" w:eastAsia="黑体" w:hAnsi="黑体"/>
          <w:color w:val="ff0000"/>
          <w:sz w:val="28"/>
          <w:szCs w:val="28"/>
        </w:rPr>
      </w:pPr>
      <w:r>
        <w:rPr>
          <w:rFonts w:ascii="黑体" w:cs="黑体" w:eastAsia="黑体" w:hAnsi="黑体" w:hint="eastAsia"/>
          <w:color w:val="000000"/>
          <w:sz w:val="28"/>
          <w:szCs w:val="28"/>
        </w:rPr>
        <w:t>各队应提前三十分钟到场，赛前十分钟将</w:t>
      </w:r>
      <w:r>
        <w:rPr>
          <w:rFonts w:ascii="黑体" w:cs="黑体" w:eastAsia="黑体" w:hAnsi="黑体" w:hint="eastAsia"/>
          <w:color w:val="ff0000"/>
          <w:sz w:val="28"/>
          <w:szCs w:val="28"/>
        </w:rPr>
        <w:t>比赛大名单（</w:t>
      </w:r>
      <w:r>
        <w:rPr>
          <w:rFonts w:ascii="黑体" w:cs="黑体" w:eastAsia="黑体" w:hAnsi="黑体" w:hint="eastAsia"/>
          <w:sz w:val="28"/>
          <w:szCs w:val="28"/>
        </w:rPr>
        <w:t>比赛大名单表格及换人表格请各队负责人自行在足协对外邮箱或指定邮箱下载并打印</w:t>
      </w:r>
      <w:r>
        <w:rPr>
          <w:rFonts w:ascii="黑体" w:cs="黑体" w:eastAsia="黑体" w:hAnsi="黑体" w:hint="eastAsia"/>
          <w:color w:val="ff0000"/>
          <w:sz w:val="28"/>
          <w:szCs w:val="28"/>
        </w:rPr>
        <w:t>）</w:t>
      </w:r>
      <w:r>
        <w:rPr>
          <w:rFonts w:ascii="黑体" w:cs="黑体" w:eastAsia="黑体" w:hAnsi="黑体" w:hint="eastAsia"/>
          <w:color w:val="000000"/>
          <w:sz w:val="28"/>
          <w:szCs w:val="28"/>
        </w:rPr>
        <w:t>和所有球员的身份证明材料（</w:t>
      </w:r>
      <w:r>
        <w:rPr>
          <w:rFonts w:ascii="黑体" w:cs="黑体" w:eastAsia="黑体" w:hAnsi="黑体" w:hint="eastAsia"/>
          <w:sz w:val="28"/>
          <w:szCs w:val="28"/>
        </w:rPr>
        <w:t>如校园卡，身份证</w:t>
      </w:r>
      <w:r>
        <w:rPr>
          <w:rFonts w:ascii="黑体" w:cs="黑体" w:eastAsia="黑体" w:hAnsi="黑体" w:hint="eastAsia"/>
          <w:color w:val="ff0000"/>
          <w:sz w:val="28"/>
          <w:szCs w:val="28"/>
        </w:rPr>
        <w:t>，不包括支付宝认证</w:t>
      </w:r>
      <w:r>
        <w:rPr>
          <w:rFonts w:ascii="黑体" w:cs="黑体" w:eastAsia="黑体" w:hAnsi="黑体" w:hint="eastAsia"/>
          <w:color w:val="000000"/>
          <w:sz w:val="28"/>
          <w:szCs w:val="28"/>
        </w:rPr>
        <w:t>）交裁判组进行队员资格核查，以保证比</w:t>
      </w:r>
      <w:r>
        <w:rPr>
          <w:rFonts w:ascii="黑体" w:cs="黑体" w:eastAsia="黑体" w:hAnsi="黑体" w:hint="eastAsia"/>
          <w:sz w:val="28"/>
          <w:szCs w:val="28"/>
        </w:rPr>
        <w:t>赛按时进行。</w:t>
      </w:r>
      <w:r>
        <w:rPr>
          <w:rFonts w:ascii="黑体" w:cs="黑体" w:eastAsia="黑体" w:hAnsi="黑体" w:hint="eastAsia"/>
          <w:color w:val="ff0000"/>
          <w:sz w:val="28"/>
          <w:szCs w:val="28"/>
        </w:rPr>
        <w:t>比赛开始后十五分钟内仍未上交有效证件则不允许该球员上场比赛。</w:t>
      </w:r>
    </w:p>
    <w:p>
      <w:pPr>
        <w:pStyle w:val="style0"/>
        <w:widowControl/>
        <w:numPr>
          <w:ilvl w:val="0"/>
          <w:numId w:val="2"/>
        </w:numPr>
        <w:adjustRightInd w:val="false"/>
        <w:snapToGrid w:val="false"/>
        <w:spacing w:lineRule="auto" w:line="360"/>
        <w:ind w:left="420" w:firstLine="560" w:firstLineChars="200"/>
        <w:jc w:val="left"/>
        <w:rPr>
          <w:rFonts w:ascii="黑体" w:cs="黑体" w:eastAsia="黑体" w:hAnsi="黑体"/>
          <w:sz w:val="28"/>
          <w:szCs w:val="28"/>
        </w:rPr>
      </w:pPr>
      <w:r>
        <w:rPr>
          <w:rFonts w:ascii="黑体" w:cs="黑体" w:eastAsia="黑体" w:hAnsi="黑体" w:hint="eastAsia"/>
          <w:sz w:val="28"/>
          <w:szCs w:val="28"/>
        </w:rPr>
        <w:t>各领队应于</w:t>
      </w:r>
      <w:r>
        <w:rPr>
          <w:rFonts w:ascii="黑体" w:cs="黑体" w:eastAsia="黑体" w:hAnsi="黑体" w:hint="eastAsia"/>
          <w:color w:val="ff0000"/>
          <w:sz w:val="28"/>
          <w:szCs w:val="28"/>
        </w:rPr>
        <w:t>比赛前一天晚上八点前</w:t>
      </w:r>
      <w:r>
        <w:rPr>
          <w:rFonts w:ascii="黑体" w:cs="黑体" w:eastAsia="黑体" w:hAnsi="黑体" w:hint="eastAsia"/>
          <w:sz w:val="28"/>
          <w:szCs w:val="28"/>
        </w:rPr>
        <w:t>将电子版大名单上传于</w:t>
      </w:r>
      <w:r>
        <w:rPr>
          <w:rFonts w:ascii="黑体" w:cs="黑体" w:eastAsia="黑体" w:hAnsi="黑体" w:hint="eastAsia"/>
          <w:color w:val="ff0000"/>
          <w:sz w:val="28"/>
          <w:szCs w:val="28"/>
        </w:rPr>
        <w:t>足协活动部邮箱</w:t>
      </w:r>
      <w:r>
        <w:rPr>
          <w:rFonts w:ascii="黑体" w:cs="黑体" w:eastAsia="黑体" w:hAnsi="黑体" w:hint="eastAsia"/>
          <w:sz w:val="28"/>
          <w:szCs w:val="28"/>
        </w:rPr>
        <w:t>，多次拖延或晚交大名单的队伍将扣取一定保证金。</w:t>
      </w:r>
    </w:p>
    <w:p>
      <w:pPr>
        <w:pStyle w:val="style2"/>
        <w:rPr>
          <w:rFonts w:ascii="微软雅黑" w:eastAsia="微软雅黑" w:hAnsi="微软雅黑"/>
        </w:rPr>
      </w:pPr>
    </w:p>
    <w:p>
      <w:pPr>
        <w:pStyle w:val="style2"/>
        <w:rPr>
          <w:rFonts w:ascii="微软雅黑" w:eastAsia="微软雅黑" w:hAnsi="微软雅黑"/>
        </w:rPr>
      </w:pPr>
    </w:p>
    <w:p>
      <w:pPr>
        <w:pStyle w:val="style2"/>
        <w:rPr>
          <w:rFonts w:ascii="微软雅黑" w:eastAsia="微软雅黑" w:hAnsi="微软雅黑"/>
        </w:rPr>
      </w:pPr>
      <w:r>
        <w:rPr>
          <w:rFonts w:ascii="微软雅黑" w:eastAsia="微软雅黑" w:hAnsi="微软雅黑" w:hint="eastAsia"/>
        </w:rPr>
        <w:t xml:space="preserve">对因恶劣天气或赛场秩序混乱造成比赛中断的处理 </w:t>
      </w:r>
    </w:p>
    <w:p>
      <w:pPr>
        <w:pStyle w:val="style179"/>
        <w:widowControl/>
        <w:numPr>
          <w:ilvl w:val="0"/>
          <w:numId w:val="3"/>
        </w:numPr>
        <w:adjustRightInd w:val="false"/>
        <w:snapToGrid w:val="false"/>
        <w:spacing w:lineRule="auto" w:line="360"/>
        <w:ind w:left="0" w:firstLine="420" w:firstLineChars="0"/>
        <w:jc w:val="left"/>
        <w:rPr>
          <w:rFonts w:ascii="微软雅黑" w:cs="宋体" w:eastAsia="微软雅黑" w:hAnsi="微软雅黑"/>
          <w:kern w:val="0"/>
          <w:sz w:val="28"/>
          <w:szCs w:val="32"/>
        </w:rPr>
      </w:pPr>
      <w:r>
        <w:rPr>
          <w:rFonts w:ascii="微软雅黑" w:cs="宋体" w:eastAsia="微软雅黑" w:hAnsi="微软雅黑" w:hint="eastAsia"/>
          <w:kern w:val="0"/>
          <w:sz w:val="28"/>
          <w:szCs w:val="32"/>
        </w:rPr>
        <w:t xml:space="preserve">因恶劣天气或赛场秩序混乱造成比赛中断的，主裁将立即吹停比赛并观察场上形势，当值主裁有权决定是否恢复比赛，双方球队需服从其的决定。 </w:t>
      </w:r>
    </w:p>
    <w:p>
      <w:pPr>
        <w:pStyle w:val="style179"/>
        <w:widowControl/>
        <w:numPr>
          <w:ilvl w:val="0"/>
          <w:numId w:val="3"/>
        </w:numPr>
        <w:adjustRightInd w:val="false"/>
        <w:snapToGrid w:val="false"/>
        <w:spacing w:lineRule="auto" w:line="360"/>
        <w:ind w:left="0" w:firstLine="420" w:firstLineChars="0"/>
        <w:jc w:val="left"/>
        <w:rPr>
          <w:rFonts w:ascii="微软雅黑" w:cs="宋体" w:eastAsia="微软雅黑" w:hAnsi="微软雅黑"/>
          <w:kern w:val="0"/>
          <w:sz w:val="28"/>
          <w:szCs w:val="32"/>
        </w:rPr>
      </w:pPr>
      <w:r>
        <w:rPr>
          <w:rFonts w:ascii="微软雅黑" w:cs="宋体" w:eastAsia="微软雅黑" w:hAnsi="微软雅黑" w:hint="eastAsia"/>
          <w:kern w:val="0"/>
          <w:sz w:val="28"/>
          <w:szCs w:val="32"/>
        </w:rPr>
        <w:t xml:space="preserve">若主裁决定恢复比赛，而一方或双方球队拒不执行，则按一方或双方罢赛处理。 </w:t>
      </w:r>
    </w:p>
    <w:p>
      <w:pPr>
        <w:pStyle w:val="style179"/>
        <w:widowControl/>
        <w:numPr>
          <w:ilvl w:val="0"/>
          <w:numId w:val="3"/>
        </w:numPr>
        <w:adjustRightInd w:val="false"/>
        <w:snapToGrid w:val="false"/>
        <w:spacing w:lineRule="auto" w:line="360"/>
        <w:ind w:left="0" w:firstLine="420" w:firstLineChars="0"/>
        <w:jc w:val="left"/>
        <w:rPr>
          <w:rFonts w:ascii="微软雅黑" w:cs="宋体" w:eastAsia="微软雅黑" w:hAnsi="微软雅黑"/>
          <w:kern w:val="0"/>
          <w:sz w:val="28"/>
          <w:szCs w:val="32"/>
        </w:rPr>
      </w:pPr>
      <w:r>
        <w:rPr>
          <w:rFonts w:ascii="微软雅黑" w:cs="宋体" w:eastAsia="微软雅黑" w:hAnsi="微软雅黑" w:hint="eastAsia"/>
          <w:kern w:val="0"/>
          <w:sz w:val="28"/>
          <w:szCs w:val="32"/>
        </w:rPr>
        <w:t xml:space="preserve">若比赛不能在一小时内恢复，主裁应作出中止比赛的决定。由第四官员征求各方意见后决定补赛的时间（需在下一轮比赛之前）和地点，补赛从中断时间起恢复。 </w:t>
      </w:r>
    </w:p>
    <w:p>
      <w:pPr>
        <w:pStyle w:val="style0"/>
        <w:widowControl/>
        <w:adjustRightInd w:val="false"/>
        <w:snapToGrid w:val="false"/>
        <w:spacing w:lineRule="auto" w:line="360"/>
        <w:jc w:val="left"/>
        <w:rPr>
          <w:rFonts w:ascii="微软雅黑" w:cs="宋体" w:eastAsia="微软雅黑" w:hAnsi="微软雅黑"/>
          <w:kern w:val="0"/>
          <w:sz w:val="28"/>
          <w:szCs w:val="32"/>
        </w:rPr>
      </w:pPr>
      <w:r>
        <w:rPr>
          <w:rFonts w:ascii="微软雅黑" w:cs="宋体" w:eastAsia="微软雅黑" w:hAnsi="微软雅黑" w:hint="eastAsia"/>
          <w:kern w:val="0"/>
          <w:sz w:val="28"/>
          <w:szCs w:val="32"/>
        </w:rPr>
        <w:t>补赛如不能在下一轮比赛前进行，则由第四官员和裁判员报告足协，由足协作出处理决定。以足协作出的决定为最终决定。</w:t>
      </w:r>
    </w:p>
    <w:p>
      <w:pPr>
        <w:pStyle w:val="style0"/>
        <w:widowControl/>
        <w:adjustRightInd w:val="false"/>
        <w:snapToGrid w:val="false"/>
        <w:spacing w:lineRule="auto" w:line="360"/>
        <w:jc w:val="left"/>
        <w:rPr>
          <w:rFonts w:ascii="微软雅黑" w:cs="宋体" w:eastAsia="微软雅黑" w:hAnsi="微软雅黑"/>
          <w:kern w:val="0"/>
          <w:sz w:val="28"/>
          <w:szCs w:val="32"/>
        </w:rPr>
      </w:pPr>
    </w:p>
    <w:p>
      <w:pPr>
        <w:pStyle w:val="style0"/>
        <w:ind w:firstLine="240" w:firstLineChars="100"/>
        <w:rPr>
          <w:sz w:val="24"/>
        </w:rPr>
      </w:pPr>
    </w:p>
    <w:p>
      <w:pPr>
        <w:pStyle w:val="style0"/>
        <w:rPr>
          <w:sz w:val="24"/>
        </w:rPr>
      </w:pPr>
    </w:p>
    <w:p>
      <w:pPr>
        <w:pStyle w:val="style0"/>
        <w:ind w:firstLine="240" w:firstLineChars="100"/>
        <w:rPr>
          <w:sz w:val="24"/>
        </w:rPr>
      </w:pPr>
    </w:p>
    <w:p>
      <w:pPr>
        <w:pStyle w:val="style0"/>
        <w:ind w:firstLine="240" w:firstLineChars="100"/>
        <w:rPr>
          <w:sz w:val="24"/>
        </w:rPr>
      </w:pPr>
      <w:r>
        <w:rPr>
          <w:rFonts w:hint="eastAsia"/>
          <w:noProof/>
          <w:sz w:val="24"/>
        </w:rPr>
        <w:drawing>
          <wp:anchor distT="0" distB="0" distL="0" distR="0" simplePos="false" relativeHeight="5" behindDoc="true" locked="false" layoutInCell="true" allowOverlap="true">
            <wp:simplePos x="0" y="0"/>
            <wp:positionH relativeFrom="column">
              <wp:posOffset>-31750</wp:posOffset>
            </wp:positionH>
            <wp:positionV relativeFrom="paragraph">
              <wp:posOffset>35560</wp:posOffset>
            </wp:positionV>
            <wp:extent cx="5272405" cy="5272405"/>
            <wp:effectExtent l="0" t="0" r="4445" b="4445"/>
            <wp:wrapNone/>
            <wp:docPr id="1030" name="圖片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圖片 5"/>
                    <pic:cNvPicPr/>
                  </pic:nvPicPr>
                  <pic:blipFill>
                    <a:blip r:embed="rId2" cstate="print">
                      <a:lum bright="68000" contrast="-70000"/>
                    </a:blip>
                    <a:srcRect l="0" t="0" r="0" b="0"/>
                    <a:stretch/>
                  </pic:blipFill>
                  <pic:spPr>
                    <a:xfrm rot="0">
                      <a:off x="0" y="0"/>
                      <a:ext cx="5272405" cy="5272405"/>
                    </a:xfrm>
                    <a:prstGeom prst="rect"/>
                    <a:ln>
                      <a:noFill/>
                    </a:ln>
                  </pic:spPr>
                </pic:pic>
              </a:graphicData>
            </a:graphic>
          </wp:anchor>
        </w:drawing>
      </w:r>
    </w:p>
    <w:p>
      <w:pPr>
        <w:pStyle w:val="style0"/>
        <w:ind w:firstLine="240" w:firstLineChars="100"/>
        <w:rPr>
          <w:sz w:val="24"/>
        </w:rPr>
      </w:pPr>
    </w:p>
    <w:p>
      <w:pPr>
        <w:pStyle w:val="style0"/>
        <w:ind w:firstLine="240" w:firstLineChars="100"/>
        <w:rPr>
          <w:sz w:val="24"/>
        </w:rPr>
      </w:pPr>
    </w:p>
    <w:p>
      <w:pPr>
        <w:pStyle w:val="style0"/>
        <w:ind w:firstLine="240" w:firstLineChars="100"/>
        <w:rPr>
          <w:sz w:val="24"/>
        </w:rPr>
      </w:pPr>
    </w:p>
    <w:p>
      <w:pPr>
        <w:pStyle w:val="style0"/>
        <w:ind w:firstLine="240" w:firstLineChars="100"/>
        <w:rPr>
          <w:sz w:val="24"/>
        </w:rPr>
      </w:pPr>
      <w:r>
        <w:rPr>
          <w:rFonts w:hint="eastAsia"/>
          <w:sz w:val="24"/>
        </w:rPr>
        <w:t xml:space="preserve">                                    </w:t>
      </w:r>
      <w:r>
        <w:rPr>
          <w:rFonts w:hint="eastAsia"/>
          <w:sz w:val="24"/>
        </w:rPr>
        <w:t>浙江工商大学体育运动委员会</w:t>
      </w:r>
    </w:p>
    <w:p>
      <w:pPr>
        <w:pStyle w:val="style0"/>
        <w:ind w:firstLine="240" w:firstLineChars="100"/>
        <w:rPr>
          <w:sz w:val="24"/>
        </w:rPr>
      </w:pPr>
      <w:r>
        <w:rPr>
          <w:rFonts w:hint="eastAsia"/>
          <w:sz w:val="24"/>
        </w:rPr>
        <w:t xml:space="preserve">                                    </w:t>
      </w:r>
      <w:r>
        <w:rPr>
          <w:rFonts w:hint="eastAsia"/>
          <w:sz w:val="24"/>
        </w:rPr>
        <w:t>浙江工商大学体工部</w:t>
      </w:r>
    </w:p>
    <w:p>
      <w:pPr>
        <w:pStyle w:val="style0"/>
        <w:ind w:firstLine="240" w:firstLineChars="100"/>
        <w:rPr>
          <w:sz w:val="24"/>
        </w:rPr>
      </w:pPr>
      <w:r>
        <w:rPr>
          <w:rFonts w:hint="eastAsia"/>
          <w:sz w:val="24"/>
        </w:rPr>
        <w:t xml:space="preserve">                                    </w:t>
      </w:r>
      <w:r>
        <w:rPr>
          <w:rFonts w:hint="eastAsia"/>
          <w:sz w:val="24"/>
        </w:rPr>
        <w:t>浙江工商大学</w:t>
      </w:r>
      <w:r>
        <w:rPr>
          <w:rFonts w:hint="eastAsia"/>
          <w:sz w:val="24"/>
        </w:rPr>
        <w:t>Striker</w:t>
      </w:r>
      <w:r>
        <w:rPr>
          <w:rFonts w:hint="eastAsia"/>
          <w:sz w:val="24"/>
        </w:rPr>
        <w:t>足球协会</w:t>
      </w:r>
    </w:p>
    <w:p>
      <w:pPr>
        <w:pStyle w:val="style0"/>
        <w:ind w:firstLine="240" w:firstLineChars="100"/>
        <w:rPr>
          <w:sz w:val="24"/>
        </w:rPr>
      </w:pPr>
      <w:r>
        <w:rPr>
          <w:sz w:val="24"/>
        </w:rPr>
        <w:t>2020-</w:t>
      </w:r>
      <w:r>
        <w:rPr>
          <w:rFonts w:hint="eastAsia"/>
          <w:sz w:val="24"/>
        </w:rPr>
        <w:t>8</w:t>
      </w:r>
      <w:r>
        <w:rPr>
          <w:sz w:val="24"/>
        </w:rPr>
        <w:t>-</w:t>
      </w:r>
      <w:r>
        <w:rPr>
          <w:rFonts w:hint="eastAsia"/>
          <w:sz w:val="24"/>
        </w:rPr>
        <w:t>26</w:t>
      </w:r>
    </w:p>
    <w:sectPr>
      <w:pgSz w:w="11906" w:h="16838" w:orient="portrait"/>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黑体">
    <w:altName w:val="SimHei"/>
    <w:panose1 w:val="02010609060000010101"/>
    <w:charset w:val="86"/>
    <w:family w:val="modern"/>
    <w:pitch w:val="fixed"/>
    <w:sig w:usb0="800002BF" w:usb1="38CF7CFA" w:usb2="00000016" w:usb3="00000000" w:csb0="00040001" w:csb1="00000000"/>
  </w:font>
  <w:font w:name="微软雅黑">
    <w:altName w:val="微软雅黑"/>
    <w:panose1 w:val="020b0503020000020204"/>
    <w:charset w:val="86"/>
    <w:family w:val="swiss"/>
    <w:pitch w:val="variable"/>
    <w:sig w:usb0="80000287" w:usb1="2ACF3C50" w:usb2="00000016" w:usb3="00000000" w:csb0="0004001F" w:csb1="00000000"/>
  </w:font>
  <w:font w:name="Calibri">
    <w:altName w:val="Calibri"/>
    <w:panose1 w:val="020f0502020000030204"/>
    <w:charset w:val="00"/>
    <w:family w:val="swiss"/>
    <w:pitch w:val="variable"/>
    <w:sig w:usb0="E4002EFF"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clear" w:pos="4153"/>
        <w:tab w:val="clear" w:pos="8306"/>
      </w:tabs>
      <w:rPr/>
    </w:pPr>
    <w:r>
      <w:rPr/>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0"/>
                  <w:snapToGrid w:val="false"/>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rect>
      </w:pic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tabs>
        <w:tab w:val="clear" w:pos="4153"/>
        <w:tab w:val="clear" w:pos="8306"/>
      </w:tab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A0AF1C64"/>
    <w:lvl w:ilvl="0">
      <w:start w:val="1"/>
      <w:numFmt w:val="decimal"/>
      <w:suff w:val="nothing"/>
      <w:lvlText w:val="%1、"/>
      <w:lvlJc w:val="left"/>
      <w:pPr/>
    </w:lvl>
  </w:abstractNum>
  <w:abstractNum w:abstractNumId="1">
    <w:nsid w:val="00000001"/>
    <w:multiLevelType w:val="multilevel"/>
    <w:tmpl w:val="0000000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0000002"/>
    <w:multiLevelType w:val="singleLevel"/>
    <w:tmpl w:val="00000002"/>
    <w:lvl w:ilvl="0">
      <w:start w:val="1"/>
      <w:numFmt w:val="decimal"/>
      <w:lvlText w:val="%1)"/>
      <w:lvlJc w:val="left"/>
      <w:pPr>
        <w:tabs>
          <w:tab w:val="left" w:leader="none" w:pos="425"/>
        </w:tabs>
        <w:ind w:left="425" w:hanging="425"/>
      </w:pPr>
      <w:rPr>
        <w:rFonts w:hint="default"/>
      </w:rPr>
    </w:lvl>
  </w:abstractNum>
  <w:abstractNum w:abstractNumId="3">
    <w:nsid w:val="00000003"/>
    <w:multiLevelType w:val="singleLevel"/>
    <w:tmpl w:val="00000003"/>
    <w:lvl w:ilvl="0">
      <w:start w:val="1"/>
      <w:numFmt w:val="decimal"/>
      <w:lvlText w:val="%1."/>
      <w:lvlJc w:val="left"/>
      <w:pPr>
        <w:tabs>
          <w:tab w:val="left" w:leader="none" w:pos="425"/>
        </w:tabs>
        <w:ind w:left="425" w:hanging="425"/>
      </w:pPr>
      <w:rPr>
        <w:rFonts w:hint="default"/>
      </w:rPr>
    </w:lvl>
  </w:abstractNum>
  <w:abstractNum w:abstractNumId="4">
    <w:nsid w:val="00000004"/>
    <w:multiLevelType w:val="singleLevel"/>
    <w:tmpl w:val="00000004"/>
    <w:lvl w:ilvl="0">
      <w:start w:val="1"/>
      <w:numFmt w:val="decimal"/>
      <w:lvlText w:val="%1."/>
      <w:lvlJc w:val="left"/>
      <w:pPr>
        <w:tabs>
          <w:tab w:val="left" w:leader="none" w:pos="425"/>
        </w:tabs>
        <w:ind w:left="425" w:hanging="425"/>
      </w:pPr>
      <w:rPr>
        <w:rFonts w:hint="default"/>
      </w:rPr>
    </w:lvl>
  </w:abstractNum>
  <w:abstractNum w:abstractNumId="5">
    <w:nsid w:val="00000005"/>
    <w:multiLevelType w:val="singleLevel"/>
    <w:tmpl w:val="00000005"/>
    <w:lvl w:ilvl="0">
      <w:start w:val="1"/>
      <w:numFmt w:val="chineseCounting"/>
      <w:suff w:val="nothing"/>
      <w:lvlText w:val="%1、"/>
      <w:lvlJc w:val="left"/>
      <w:pPr/>
    </w:lvl>
  </w:abstractNum>
  <w:abstractNum w:abstractNumId="6">
    <w:nsid w:val="00000006"/>
    <w:multiLevelType w:val="multilevel"/>
    <w:tmpl w:val="0000000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00000007"/>
    <w:multiLevelType w:val="singleLevel"/>
    <w:tmpl w:val="00000007"/>
    <w:lvl w:ilvl="0">
      <w:start w:val="1"/>
      <w:numFmt w:val="decimal"/>
      <w:lvlText w:val="%1)"/>
      <w:lvlJc w:val="left"/>
      <w:pPr>
        <w:tabs>
          <w:tab w:val="left" w:leader="none" w:pos="425"/>
        </w:tabs>
        <w:ind w:left="425" w:hanging="425"/>
      </w:pPr>
      <w:rPr>
        <w:rFonts w:hint="default"/>
      </w:rPr>
    </w:lvl>
  </w:abstractNum>
  <w:abstractNum w:abstractNumId="8">
    <w:nsid w:val="00000008"/>
    <w:multiLevelType w:val="multilevel"/>
    <w:tmpl w:val="00000013"/>
    <w:lvl w:ilvl="0">
      <w:start w:val="1"/>
      <w:numFmt w:val="decimal"/>
      <w:lvlText w:val="%1."/>
      <w:lvlJc w:val="left"/>
      <w:pPr>
        <w:ind w:left="420" w:hanging="42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09"/>
    <w:multiLevelType w:val="multilevel"/>
    <w:tmpl w:val="005320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0"/>
  </w:num>
  <w:num w:numId="3">
    <w:abstractNumId w:val="8"/>
  </w:num>
  <w:num w:numId="4">
    <w:abstractNumId w:val="3"/>
  </w:num>
  <w:num w:numId="5">
    <w:abstractNumId w:val="7"/>
  </w:num>
  <w:num w:numId="6">
    <w:abstractNumId w:val="2"/>
  </w:num>
  <w:num w:numId="7">
    <w:abstractNumId w:val="4"/>
  </w:num>
  <w:num w:numId="8">
    <w:abstractNumId w:val="6"/>
  </w:num>
  <w:num w:numId="9">
    <w:abstractNumId w:val="1"/>
  </w:num>
  <w:num w:numId="10">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0"/>
  <w:doNotDisplayPageBoundarie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kern w:val="2"/>
      <w:sz w:val="21"/>
      <w:szCs w:val="24"/>
    </w:rPr>
  </w:style>
  <w:style w:type="paragraph" w:styleId="style2">
    <w:name w:val="heading 2"/>
    <w:basedOn w:val="style0"/>
    <w:next w:val="style0"/>
    <w:qFormat/>
    <w:pPr>
      <w:keepNext/>
      <w:keepLines/>
      <w:spacing w:before="260" w:after="260" w:lineRule="auto" w:line="416"/>
      <w:outlineLvl w:val="1"/>
    </w:pPr>
    <w:rPr>
      <w:rFonts w:ascii="Cambria" w:hAnsi="Cambria"/>
      <w:b/>
      <w:bCs/>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qFormat/>
    <w:pPr>
      <w:tabs>
        <w:tab w:val="center" w:leader="none" w:pos="4153"/>
        <w:tab w:val="right" w:leader="none" w:pos="8306"/>
      </w:tabs>
      <w:snapToGrid w:val="false"/>
      <w:jc w:val="left"/>
    </w:pPr>
    <w:rPr>
      <w:sz w:val="18"/>
      <w:szCs w:val="18"/>
    </w:rPr>
  </w:style>
  <w:style w:type="paragraph" w:styleId="style31">
    <w:name w:val="header"/>
    <w:basedOn w:val="style0"/>
    <w:next w:val="style31"/>
    <w:pPr>
      <w:tabs>
        <w:tab w:val="center" w:leader="none" w:pos="4153"/>
        <w:tab w:val="right" w:leader="none" w:pos="8306"/>
      </w:tabs>
      <w:snapToGrid w:val="false"/>
    </w:pPr>
    <w:rPr>
      <w:sz w:val="20"/>
    </w:rPr>
  </w:style>
  <w:style w:type="character" w:styleId="style41">
    <w:name w:val="page number"/>
    <w:basedOn w:val="style65"/>
    <w:next w:val="style41"/>
    <w:qFormat/>
    <w:rPr>
      <w:rFonts w:ascii="Times New Roman" w:cs="Times New Roman" w:eastAsia="宋体" w:hAnsi="Times New Roman"/>
    </w:rPr>
  </w:style>
  <w:style w:type="paragraph" w:customStyle="1" w:styleId="style4097">
    <w:name w:val="_Style 6"/>
    <w:basedOn w:val="style0"/>
    <w:next w:val="style4097"/>
    <w:qFormat/>
    <w:pPr>
      <w:ind w:firstLine="420" w:firstLineChars="200"/>
    </w:pPr>
    <w:rPr/>
  </w:style>
  <w:style w:type="paragraph" w:styleId="style179">
    <w:name w:val="List Paragraph"/>
    <w:basedOn w:val="style0"/>
    <w:next w:val="style179"/>
    <w:qFormat/>
    <w:uiPriority w:val="72"/>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Words>3904</Words>
  <Pages>7</Pages>
  <Characters>4139</Characters>
  <Application>WPS Office</Application>
  <DocSecurity>0</DocSecurity>
  <Paragraphs>150</Paragraphs>
  <ScaleCrop>false</ScaleCrop>
  <Company>雅兔网吧</Company>
  <LinksUpToDate>false</LinksUpToDate>
  <CharactersWithSpaces>4306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2016-04-12T22:38:00Z</dcterms:created>
  <dc:creator>雅兔网络</dc:creator>
  <lastModifiedBy>MI 9</lastModifiedBy>
  <dcterms:modified xsi:type="dcterms:W3CDTF">2020-09-18T01:52:58Z</dcterms:modified>
  <revision>6</revision>
  <dc:title>2013年浙江工商大学</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